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Cs/>
          <w:color w:val="001947" w:themeColor="accent6"/>
          <w:spacing w:val="0"/>
          <w:kern w:val="2"/>
          <w:sz w:val="48"/>
          <w:szCs w:val="48"/>
        </w:rPr>
        <w:alias w:val="Title"/>
        <w:tag w:val=""/>
        <w:id w:val="1716622775"/>
        <w:placeholder>
          <w:docPart w:val="803259AF72C64F1C8F8C494F3C13F6B5"/>
        </w:placeholder>
        <w:dataBinding w:prefixMappings="xmlns:ns0='http://purl.org/dc/elements/1.1/' xmlns:ns1='http://schemas.openxmlformats.org/package/2006/metadata/core-properties' " w:xpath="/ns1:coreProperties[1]/ns0:title[1]" w:storeItemID="{6C3C8BC8-F283-45AE-878A-BAB7291924A1}"/>
        <w:text/>
      </w:sdtPr>
      <w:sdtEndPr/>
      <w:sdtContent>
        <w:p w14:paraId="4515A4F5" w14:textId="6DDF1C7A" w:rsidR="009D6E8A" w:rsidRPr="003044A3" w:rsidRDefault="003044A3" w:rsidP="00C13D8F">
          <w:pPr>
            <w:pStyle w:val="Title"/>
            <w:rPr>
              <w:rFonts w:asciiTheme="minorHAnsi" w:eastAsiaTheme="minorHAnsi" w:hAnsiTheme="minorHAnsi" w:cstheme="minorBidi"/>
              <w:bCs/>
              <w:color w:val="001947" w:themeColor="accent6"/>
              <w:spacing w:val="0"/>
              <w:kern w:val="2"/>
              <w:sz w:val="48"/>
              <w:szCs w:val="48"/>
            </w:rPr>
          </w:pPr>
          <w:r>
            <w:rPr>
              <w:rFonts w:asciiTheme="minorHAnsi" w:eastAsiaTheme="minorHAnsi" w:hAnsiTheme="minorHAnsi" w:cstheme="minorBidi"/>
              <w:bCs/>
              <w:color w:val="001947" w:themeColor="accent6"/>
              <w:spacing w:val="0"/>
              <w:kern w:val="2"/>
              <w:sz w:val="48"/>
              <w:szCs w:val="48"/>
            </w:rPr>
            <w:t>Senior Policy and Engagement Officer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4D614F96"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6A661BD9"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6A4753A8" w14:textId="5175597B" w:rsidR="009D6E8A" w:rsidRPr="0057614B" w:rsidRDefault="003044A3" w:rsidP="009C08F6">
            <w:pPr>
              <w:jc w:val="right"/>
              <w:rPr>
                <w:sz w:val="28"/>
                <w:szCs w:val="28"/>
              </w:rPr>
            </w:pPr>
            <w:r>
              <w:rPr>
                <w:color w:val="001947" w:themeColor="accent6"/>
                <w:sz w:val="28"/>
                <w:szCs w:val="28"/>
              </w:rPr>
              <w:t>JULY 2017</w:t>
            </w:r>
          </w:p>
        </w:tc>
      </w:tr>
      <w:tr w:rsidR="00D2771F" w14:paraId="53DB5433" w14:textId="77777777" w:rsidTr="00D2771F">
        <w:trPr>
          <w:trHeight w:val="385"/>
        </w:trPr>
        <w:tc>
          <w:tcPr>
            <w:tcW w:w="3152" w:type="dxa"/>
          </w:tcPr>
          <w:p w14:paraId="29371B7D" w14:textId="77777777" w:rsidR="00D2771F" w:rsidRPr="003044A3" w:rsidRDefault="00D2771F" w:rsidP="00D2771F">
            <w:pPr>
              <w:pStyle w:val="TableBodyText"/>
            </w:pPr>
            <w:r w:rsidRPr="003044A3">
              <w:t>Number</w:t>
            </w:r>
          </w:p>
        </w:tc>
        <w:tc>
          <w:tcPr>
            <w:tcW w:w="6540" w:type="dxa"/>
            <w:gridSpan w:val="2"/>
          </w:tcPr>
          <w:p w14:paraId="422656C3" w14:textId="2AC239A7" w:rsidR="00D2771F" w:rsidRPr="003044A3" w:rsidRDefault="003044A3" w:rsidP="00D2771F">
            <w:pPr>
              <w:pStyle w:val="TableBodyText"/>
              <w:rPr>
                <w:sz w:val="24"/>
                <w:szCs w:val="24"/>
              </w:rPr>
            </w:pPr>
            <w:r>
              <w:rPr>
                <w:rFonts w:eastAsia="Times New Roman" w:cs="Arial"/>
                <w:bCs/>
                <w:sz w:val="24"/>
                <w:szCs w:val="24"/>
              </w:rPr>
              <w:t>522355</w:t>
            </w:r>
          </w:p>
        </w:tc>
      </w:tr>
      <w:tr w:rsidR="00D2771F" w14:paraId="12EA7888"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203A0ECF" w14:textId="77777777" w:rsidR="00D2771F" w:rsidRPr="003044A3" w:rsidRDefault="00D2771F" w:rsidP="00D2771F">
            <w:pPr>
              <w:pStyle w:val="TableBodyText"/>
            </w:pPr>
            <w:r w:rsidRPr="003044A3">
              <w:t>Portfolio</w:t>
            </w:r>
          </w:p>
        </w:tc>
        <w:sdt>
          <w:sdtPr>
            <w:rPr>
              <w:sz w:val="24"/>
              <w:szCs w:val="24"/>
            </w:rPr>
            <w:id w:val="-1794978893"/>
            <w:placeholder>
              <w:docPart w:val="E5DF7F3C97534BAC894C48EB9D6E38EE"/>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6E56CC5A" w14:textId="1171F389" w:rsidR="00D2771F" w:rsidRPr="003044A3" w:rsidRDefault="003044A3" w:rsidP="00D2771F">
                <w:pPr>
                  <w:pStyle w:val="TableBodyText"/>
                  <w:rPr>
                    <w:sz w:val="24"/>
                    <w:szCs w:val="24"/>
                  </w:rPr>
                </w:pPr>
                <w:r>
                  <w:rPr>
                    <w:sz w:val="24"/>
                    <w:szCs w:val="24"/>
                  </w:rPr>
                  <w:t>Business Operations and Support</w:t>
                </w:r>
              </w:p>
            </w:tc>
          </w:sdtContent>
        </w:sdt>
      </w:tr>
      <w:tr w:rsidR="003044A3" w14:paraId="2746FA64" w14:textId="77777777" w:rsidTr="00D2771F">
        <w:trPr>
          <w:trHeight w:val="385"/>
        </w:trPr>
        <w:tc>
          <w:tcPr>
            <w:tcW w:w="3152" w:type="dxa"/>
          </w:tcPr>
          <w:p w14:paraId="481EB92C" w14:textId="77777777" w:rsidR="003044A3" w:rsidRPr="003044A3" w:rsidRDefault="003044A3" w:rsidP="003044A3">
            <w:pPr>
              <w:pStyle w:val="TableBodyText"/>
            </w:pPr>
            <w:r w:rsidRPr="003044A3">
              <w:t>Branch</w:t>
            </w:r>
          </w:p>
        </w:tc>
        <w:tc>
          <w:tcPr>
            <w:tcW w:w="6540" w:type="dxa"/>
            <w:gridSpan w:val="2"/>
          </w:tcPr>
          <w:p w14:paraId="5DB29690" w14:textId="31C6924B" w:rsidR="003044A3" w:rsidRPr="003044A3" w:rsidRDefault="003044A3" w:rsidP="003044A3">
            <w:pPr>
              <w:pStyle w:val="TableBodyText"/>
              <w:rPr>
                <w:sz w:val="24"/>
                <w:szCs w:val="24"/>
              </w:rPr>
            </w:pPr>
            <w:r w:rsidRPr="00B53B45">
              <w:rPr>
                <w:sz w:val="24"/>
                <w:szCs w:val="24"/>
              </w:rPr>
              <w:t>Commissioner</w:t>
            </w:r>
            <w:r w:rsidRPr="00B53B45">
              <w:rPr>
                <w:spacing w:val="-3"/>
                <w:sz w:val="24"/>
                <w:szCs w:val="24"/>
              </w:rPr>
              <w:t xml:space="preserve"> </w:t>
            </w:r>
            <w:r w:rsidRPr="00B53B45">
              <w:rPr>
                <w:sz w:val="24"/>
                <w:szCs w:val="24"/>
              </w:rPr>
              <w:t>for</w:t>
            </w:r>
            <w:r w:rsidRPr="00B53B45">
              <w:rPr>
                <w:spacing w:val="-3"/>
                <w:sz w:val="24"/>
                <w:szCs w:val="24"/>
              </w:rPr>
              <w:t xml:space="preserve"> </w:t>
            </w:r>
            <w:r w:rsidRPr="00B53B45">
              <w:rPr>
                <w:sz w:val="24"/>
                <w:szCs w:val="24"/>
              </w:rPr>
              <w:t>Children and</w:t>
            </w:r>
            <w:r w:rsidRPr="00B53B45">
              <w:rPr>
                <w:spacing w:val="-5"/>
                <w:sz w:val="24"/>
                <w:szCs w:val="24"/>
              </w:rPr>
              <w:t xml:space="preserve"> </w:t>
            </w:r>
            <w:r w:rsidRPr="00B53B45">
              <w:rPr>
                <w:sz w:val="24"/>
                <w:szCs w:val="24"/>
              </w:rPr>
              <w:t>Young</w:t>
            </w:r>
            <w:r w:rsidRPr="00B53B45">
              <w:rPr>
                <w:spacing w:val="-4"/>
                <w:sz w:val="24"/>
                <w:szCs w:val="24"/>
              </w:rPr>
              <w:t xml:space="preserve"> </w:t>
            </w:r>
            <w:r w:rsidRPr="00B53B45">
              <w:rPr>
                <w:sz w:val="24"/>
                <w:szCs w:val="24"/>
              </w:rPr>
              <w:t>People</w:t>
            </w:r>
          </w:p>
        </w:tc>
      </w:tr>
      <w:tr w:rsidR="00D2771F" w14:paraId="6DD6D6E3"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9008D44" w14:textId="77777777" w:rsidR="00D2771F" w:rsidRPr="003044A3" w:rsidRDefault="00D2771F" w:rsidP="00D2771F">
            <w:pPr>
              <w:pStyle w:val="TableBodyText"/>
            </w:pPr>
            <w:r w:rsidRPr="003044A3">
              <w:t>Section/Unit/School</w:t>
            </w:r>
          </w:p>
        </w:tc>
        <w:tc>
          <w:tcPr>
            <w:tcW w:w="6540" w:type="dxa"/>
            <w:gridSpan w:val="2"/>
          </w:tcPr>
          <w:p w14:paraId="553859B8" w14:textId="6F03A7DA" w:rsidR="00D2771F" w:rsidRPr="003044A3" w:rsidRDefault="003044A3" w:rsidP="00D2771F">
            <w:pPr>
              <w:pStyle w:val="TableBodyText"/>
              <w:rPr>
                <w:sz w:val="24"/>
                <w:szCs w:val="24"/>
              </w:rPr>
            </w:pPr>
            <w:r>
              <w:rPr>
                <w:rFonts w:eastAsia="Times New Roman" w:cs="Arial"/>
                <w:bCs/>
                <w:sz w:val="24"/>
                <w:szCs w:val="24"/>
              </w:rPr>
              <w:t>N/A</w:t>
            </w:r>
          </w:p>
        </w:tc>
      </w:tr>
      <w:tr w:rsidR="003044A3" w14:paraId="3F4C4546" w14:textId="77777777" w:rsidTr="00D2771F">
        <w:trPr>
          <w:trHeight w:val="362"/>
        </w:trPr>
        <w:tc>
          <w:tcPr>
            <w:tcW w:w="3152" w:type="dxa"/>
          </w:tcPr>
          <w:p w14:paraId="65FEA3A5" w14:textId="77777777" w:rsidR="003044A3" w:rsidRPr="003044A3" w:rsidRDefault="003044A3" w:rsidP="003044A3">
            <w:pPr>
              <w:pStyle w:val="TableBodyText"/>
            </w:pPr>
            <w:r w:rsidRPr="003044A3">
              <w:t>Supervisor</w:t>
            </w:r>
          </w:p>
        </w:tc>
        <w:tc>
          <w:tcPr>
            <w:tcW w:w="6540" w:type="dxa"/>
            <w:gridSpan w:val="2"/>
          </w:tcPr>
          <w:p w14:paraId="74D8E168" w14:textId="1B9EF007" w:rsidR="003044A3" w:rsidRPr="003044A3" w:rsidRDefault="003044A3" w:rsidP="003044A3">
            <w:pPr>
              <w:pStyle w:val="TableBodyText"/>
              <w:rPr>
                <w:sz w:val="24"/>
                <w:szCs w:val="24"/>
              </w:rPr>
            </w:pPr>
            <w:r w:rsidRPr="007406C1">
              <w:rPr>
                <w:sz w:val="24"/>
                <w:szCs w:val="24"/>
              </w:rPr>
              <w:t>Manager, Monitoring</w:t>
            </w:r>
            <w:r w:rsidR="00FE747F">
              <w:rPr>
                <w:sz w:val="24"/>
                <w:szCs w:val="24"/>
              </w:rPr>
              <w:t xml:space="preserve"> and Engagement</w:t>
            </w:r>
          </w:p>
        </w:tc>
      </w:tr>
      <w:tr w:rsidR="00D2771F" w14:paraId="0DA66592"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C0A56E2" w14:textId="77777777" w:rsidR="00D2771F" w:rsidRPr="003044A3" w:rsidRDefault="00D2771F" w:rsidP="00D2771F">
            <w:pPr>
              <w:pStyle w:val="TableBodyText"/>
            </w:pPr>
            <w:r w:rsidRPr="003044A3">
              <w:t>Award/Agreement</w:t>
            </w:r>
          </w:p>
        </w:tc>
        <w:tc>
          <w:tcPr>
            <w:tcW w:w="6540" w:type="dxa"/>
            <w:gridSpan w:val="2"/>
          </w:tcPr>
          <w:sdt>
            <w:sdtPr>
              <w:rPr>
                <w:rFonts w:eastAsia="Times New Roman" w:cs="Arial"/>
                <w:bCs/>
                <w:sz w:val="24"/>
                <w:szCs w:val="24"/>
              </w:rPr>
              <w:id w:val="1431852964"/>
              <w:placeholder>
                <w:docPart w:val="E5DF7F3C97534BAC894C48EB9D6E38EE"/>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63B40EBD" w14:textId="0C6EBA90" w:rsidR="00D2771F" w:rsidRPr="003044A3" w:rsidRDefault="003044A3" w:rsidP="00D2771F">
                <w:pPr>
                  <w:pStyle w:val="TableBodyText"/>
                  <w:rPr>
                    <w:sz w:val="24"/>
                    <w:szCs w:val="24"/>
                  </w:rPr>
                </w:pPr>
                <w:r>
                  <w:rPr>
                    <w:rFonts w:eastAsia="Times New Roman" w:cs="Arial"/>
                    <w:bCs/>
                    <w:sz w:val="24"/>
                    <w:szCs w:val="24"/>
                  </w:rPr>
                  <w:t>Tasmanian State Service Award</w:t>
                </w:r>
              </w:p>
            </w:sdtContent>
          </w:sdt>
        </w:tc>
      </w:tr>
      <w:tr w:rsidR="003044A3" w14:paraId="556326FE" w14:textId="77777777" w:rsidTr="00D2771F">
        <w:trPr>
          <w:trHeight w:val="362"/>
        </w:trPr>
        <w:tc>
          <w:tcPr>
            <w:tcW w:w="3152" w:type="dxa"/>
          </w:tcPr>
          <w:p w14:paraId="43933DA6" w14:textId="77777777" w:rsidR="003044A3" w:rsidRPr="003044A3" w:rsidRDefault="003044A3" w:rsidP="003044A3">
            <w:pPr>
              <w:pStyle w:val="TableBodyText"/>
            </w:pPr>
            <w:r w:rsidRPr="003044A3">
              <w:t>Classification</w:t>
            </w:r>
          </w:p>
        </w:tc>
        <w:tc>
          <w:tcPr>
            <w:tcW w:w="6540" w:type="dxa"/>
            <w:gridSpan w:val="2"/>
          </w:tcPr>
          <w:p w14:paraId="02B0D835" w14:textId="6BC5F5F6" w:rsidR="003044A3" w:rsidRPr="003044A3" w:rsidRDefault="003044A3" w:rsidP="003044A3">
            <w:pPr>
              <w:pStyle w:val="TableBodyText"/>
              <w:rPr>
                <w:sz w:val="24"/>
                <w:szCs w:val="24"/>
              </w:rPr>
            </w:pPr>
            <w:r w:rsidRPr="007406C1">
              <w:rPr>
                <w:sz w:val="24"/>
                <w:szCs w:val="24"/>
              </w:rPr>
              <w:t>General Stream</w:t>
            </w:r>
            <w:r w:rsidRPr="007406C1">
              <w:rPr>
                <w:spacing w:val="-4"/>
                <w:sz w:val="24"/>
                <w:szCs w:val="24"/>
              </w:rPr>
              <w:t xml:space="preserve"> </w:t>
            </w:r>
            <w:r w:rsidRPr="007406C1">
              <w:rPr>
                <w:sz w:val="24"/>
                <w:szCs w:val="24"/>
              </w:rPr>
              <w:t>Band</w:t>
            </w:r>
            <w:r w:rsidRPr="007406C1">
              <w:rPr>
                <w:spacing w:val="-3"/>
                <w:sz w:val="24"/>
                <w:szCs w:val="24"/>
              </w:rPr>
              <w:t xml:space="preserve"> </w:t>
            </w:r>
            <w:r w:rsidRPr="007406C1">
              <w:rPr>
                <w:spacing w:val="-10"/>
                <w:sz w:val="24"/>
                <w:szCs w:val="24"/>
              </w:rPr>
              <w:t>6</w:t>
            </w:r>
          </w:p>
        </w:tc>
      </w:tr>
      <w:tr w:rsidR="004C4F86" w14:paraId="7E323E59"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57DBD1E4" w14:textId="77777777" w:rsidR="009D6E8A" w:rsidRPr="003044A3" w:rsidRDefault="009D6E8A" w:rsidP="00C13D8F">
            <w:pPr>
              <w:pStyle w:val="TableBodyText"/>
            </w:pPr>
            <w:r w:rsidRPr="003044A3">
              <w:t>Employment Conditions</w:t>
            </w:r>
          </w:p>
        </w:tc>
        <w:tc>
          <w:tcPr>
            <w:tcW w:w="6540" w:type="dxa"/>
            <w:gridSpan w:val="2"/>
          </w:tcPr>
          <w:p w14:paraId="28F94755" w14:textId="2C8C6E31" w:rsidR="009D6E8A" w:rsidRPr="003044A3" w:rsidRDefault="00DA0E2B" w:rsidP="00BF7FC7">
            <w:pPr>
              <w:rPr>
                <w:sz w:val="24"/>
                <w:szCs w:val="24"/>
              </w:rPr>
            </w:pPr>
            <w:sdt>
              <w:sdtPr>
                <w:rPr>
                  <w:rStyle w:val="PlaceholderText"/>
                  <w:color w:val="auto"/>
                  <w:sz w:val="24"/>
                  <w:szCs w:val="24"/>
                </w:rPr>
                <w:id w:val="86980238"/>
                <w:placeholder>
                  <w:docPart w:val="99C84223D9844064B8987561F698BEE5"/>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3044A3">
                  <w:rPr>
                    <w:rStyle w:val="PlaceholderText"/>
                    <w:color w:val="auto"/>
                    <w:sz w:val="24"/>
                    <w:szCs w:val="24"/>
                  </w:rPr>
                  <w:t>Permanent/Fixed-term, Full-time/Part-time</w:t>
                </w:r>
              </w:sdtContent>
            </w:sdt>
            <w:r w:rsidR="003044A3">
              <w:rPr>
                <w:rStyle w:val="PlaceholderText"/>
                <w:color w:val="auto"/>
                <w:sz w:val="24"/>
                <w:szCs w:val="24"/>
              </w:rPr>
              <w:t xml:space="preserve">, 73.5 hours </w:t>
            </w:r>
            <w:r w:rsidR="00D2771F" w:rsidRPr="003044A3">
              <w:rPr>
                <w:rFonts w:eastAsia="Times New Roman" w:cs="Arial"/>
                <w:sz w:val="24"/>
                <w:szCs w:val="24"/>
              </w:rPr>
              <w:t>per fortnight, 52 weeks per year including 4 weeks annual leave</w:t>
            </w:r>
            <w:r w:rsidR="003044A3">
              <w:rPr>
                <w:rFonts w:eastAsia="Times New Roman" w:cs="Arial"/>
                <w:sz w:val="24"/>
                <w:szCs w:val="24"/>
              </w:rPr>
              <w:t>.</w:t>
            </w:r>
          </w:p>
        </w:tc>
      </w:tr>
      <w:tr w:rsidR="00D2771F" w14:paraId="3F7AC43B" w14:textId="77777777" w:rsidTr="00D2771F">
        <w:trPr>
          <w:trHeight w:val="362"/>
        </w:trPr>
        <w:tc>
          <w:tcPr>
            <w:tcW w:w="3152" w:type="dxa"/>
          </w:tcPr>
          <w:p w14:paraId="688EDE8E" w14:textId="77777777" w:rsidR="00D2771F" w:rsidRPr="003044A3" w:rsidRDefault="00D2771F" w:rsidP="00D2771F">
            <w:pPr>
              <w:pStyle w:val="TableBodyText"/>
            </w:pPr>
            <w:r w:rsidRPr="003044A3">
              <w:t>Location</w:t>
            </w:r>
          </w:p>
        </w:tc>
        <w:tc>
          <w:tcPr>
            <w:tcW w:w="6540" w:type="dxa"/>
            <w:gridSpan w:val="2"/>
          </w:tcPr>
          <w:p w14:paraId="4BFCE219" w14:textId="2AC949C9" w:rsidR="00D2771F" w:rsidRPr="003044A3" w:rsidRDefault="00DA0E2B" w:rsidP="00D2771F">
            <w:pPr>
              <w:pStyle w:val="TableBodyText"/>
              <w:rPr>
                <w:sz w:val="24"/>
                <w:szCs w:val="24"/>
              </w:rPr>
            </w:pPr>
            <w:sdt>
              <w:sdtPr>
                <w:rPr>
                  <w:rFonts w:eastAsia="Times New Roman"/>
                  <w:sz w:val="24"/>
                  <w:szCs w:val="24"/>
                </w:rPr>
                <w:id w:val="-787747809"/>
                <w:placeholder>
                  <w:docPart w:val="03AA9AF4DFA94BC5B310BCE72F18B116"/>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3044A3">
                  <w:rPr>
                    <w:rFonts w:eastAsia="Times New Roman"/>
                    <w:sz w:val="24"/>
                    <w:szCs w:val="24"/>
                  </w:rPr>
                  <w:t>South</w:t>
                </w:r>
              </w:sdtContent>
            </w:sdt>
            <w:r w:rsidR="008C241C" w:rsidRPr="003044A3">
              <w:rPr>
                <w:rFonts w:eastAsia="Times New Roman"/>
                <w:sz w:val="24"/>
                <w:szCs w:val="24"/>
              </w:rPr>
              <w:t xml:space="preserve"> </w:t>
            </w:r>
          </w:p>
        </w:tc>
      </w:tr>
      <w:tr w:rsidR="00D2771F" w14:paraId="71BB790C"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3C6DB88" w14:textId="77777777" w:rsidR="00D2771F" w:rsidRPr="003044A3" w:rsidRDefault="00D2771F" w:rsidP="00D2771F">
            <w:pPr>
              <w:pStyle w:val="TableBodyText"/>
            </w:pPr>
            <w:r w:rsidRPr="003044A3">
              <w:t>Check Type</w:t>
            </w:r>
          </w:p>
        </w:tc>
        <w:tc>
          <w:tcPr>
            <w:tcW w:w="6540" w:type="dxa"/>
            <w:gridSpan w:val="2"/>
          </w:tcPr>
          <w:p w14:paraId="5EE0D0EA" w14:textId="3AD9C5FD" w:rsidR="00D2771F" w:rsidRPr="003044A3" w:rsidRDefault="00DA0E2B" w:rsidP="00D2771F">
            <w:pPr>
              <w:pStyle w:val="TableBodyText"/>
              <w:rPr>
                <w:sz w:val="24"/>
                <w:szCs w:val="24"/>
              </w:rPr>
            </w:pPr>
            <w:sdt>
              <w:sdtPr>
                <w:rPr>
                  <w:rFonts w:eastAsia="Times New Roman"/>
                  <w:sz w:val="24"/>
                  <w:szCs w:val="24"/>
                </w:rPr>
                <w:id w:val="331334461"/>
                <w:placeholder>
                  <w:docPart w:val="E5DF7F3C97534BAC894C48EB9D6E38EE"/>
                </w:placeholder>
                <w:dropDownList>
                  <w:listItem w:value="Choose an item."/>
                  <w:listItem w:displayText="Annulled" w:value="Annulled"/>
                  <w:listItem w:displayText="Schedule 1" w:value="Schedule 1"/>
                </w:dropDownList>
              </w:sdtPr>
              <w:sdtEndPr/>
              <w:sdtContent>
                <w:r w:rsidR="003044A3">
                  <w:rPr>
                    <w:rFonts w:eastAsia="Times New Roman"/>
                    <w:sz w:val="24"/>
                    <w:szCs w:val="24"/>
                  </w:rPr>
                  <w:t>Annulled</w:t>
                </w:r>
              </w:sdtContent>
            </w:sdt>
            <w:r w:rsidR="008C241C" w:rsidRPr="003044A3">
              <w:rPr>
                <w:rFonts w:eastAsia="Times New Roman"/>
                <w:sz w:val="24"/>
                <w:szCs w:val="24"/>
              </w:rPr>
              <w:t xml:space="preserve"> </w:t>
            </w:r>
          </w:p>
        </w:tc>
      </w:tr>
      <w:tr w:rsidR="00D2771F" w14:paraId="248964B7" w14:textId="77777777" w:rsidTr="00D2771F">
        <w:trPr>
          <w:trHeight w:val="362"/>
        </w:trPr>
        <w:tc>
          <w:tcPr>
            <w:tcW w:w="3152" w:type="dxa"/>
          </w:tcPr>
          <w:p w14:paraId="401FAB9C" w14:textId="77777777" w:rsidR="00D2771F" w:rsidRPr="003044A3" w:rsidRDefault="00D2771F" w:rsidP="00D2771F">
            <w:pPr>
              <w:pStyle w:val="TableBodyText"/>
            </w:pPr>
            <w:r w:rsidRPr="003044A3">
              <w:t>Check Frequency</w:t>
            </w:r>
          </w:p>
        </w:tc>
        <w:tc>
          <w:tcPr>
            <w:tcW w:w="6540" w:type="dxa"/>
            <w:gridSpan w:val="2"/>
          </w:tcPr>
          <w:p w14:paraId="1A074908" w14:textId="1B86F811" w:rsidR="00D2771F" w:rsidRPr="003044A3" w:rsidRDefault="00DA0E2B" w:rsidP="00D2771F">
            <w:pPr>
              <w:pStyle w:val="TableBodyText"/>
              <w:rPr>
                <w:rFonts w:eastAsia="Times New Roman"/>
                <w:sz w:val="24"/>
                <w:szCs w:val="24"/>
              </w:rPr>
            </w:pPr>
            <w:sdt>
              <w:sdtPr>
                <w:rPr>
                  <w:rFonts w:eastAsia="Times New Roman"/>
                  <w:sz w:val="24"/>
                  <w:szCs w:val="24"/>
                </w:rPr>
                <w:id w:val="2123720829"/>
                <w:placeholder>
                  <w:docPart w:val="E5DF7F3C97534BAC894C48EB9D6E38EE"/>
                </w:placeholder>
                <w:dropDownList>
                  <w:listItem w:value="Choose an item."/>
                  <w:listItem w:displayText="Pre-employment" w:value="Pre-employment"/>
                  <w:listItem w:displayText="Pre-employment and Recurrent" w:value="Pre-employment and Recurrent"/>
                </w:dropDownList>
              </w:sdtPr>
              <w:sdtEndPr/>
              <w:sdtContent>
                <w:r w:rsidR="003044A3">
                  <w:rPr>
                    <w:rFonts w:eastAsia="Times New Roman"/>
                    <w:sz w:val="24"/>
                    <w:szCs w:val="24"/>
                  </w:rPr>
                  <w:t>Pre-employment</w:t>
                </w:r>
              </w:sdtContent>
            </w:sdt>
            <w:r w:rsidR="008C241C" w:rsidRPr="003044A3">
              <w:rPr>
                <w:rFonts w:eastAsia="Times New Roman"/>
                <w:sz w:val="24"/>
                <w:szCs w:val="24"/>
              </w:rPr>
              <w:t xml:space="preserve"> </w:t>
            </w:r>
          </w:p>
        </w:tc>
      </w:tr>
    </w:tbl>
    <w:p w14:paraId="45E98BC9" w14:textId="77777777" w:rsidR="00D2771F" w:rsidRDefault="00D2771F" w:rsidP="00697DE2">
      <w:pPr>
        <w:pStyle w:val="Heading2"/>
      </w:pPr>
      <w:r>
        <w:t>Context</w:t>
      </w:r>
    </w:p>
    <w:p w14:paraId="78261749" w14:textId="77777777" w:rsidR="003044A3" w:rsidRDefault="003044A3" w:rsidP="003044A3">
      <w:pPr>
        <w:rPr>
          <w:rFonts w:eastAsia="Times New Roman" w:cs="Arial"/>
          <w:bCs/>
          <w:sz w:val="24"/>
          <w:szCs w:val="24"/>
        </w:rPr>
      </w:pPr>
      <w:r w:rsidRPr="00446159">
        <w:rPr>
          <w:rFonts w:eastAsia="Times New Roman" w:cs="Arial"/>
          <w:bCs/>
          <w:sz w:val="24"/>
          <w:szCs w:val="24"/>
        </w:rPr>
        <w:t xml:space="preserve">The Commissioner for Children and Young People was established by the </w:t>
      </w:r>
      <w:r w:rsidRPr="00E462A8">
        <w:rPr>
          <w:rFonts w:eastAsia="Times New Roman" w:cs="Arial"/>
          <w:bCs/>
          <w:i/>
          <w:iCs/>
          <w:sz w:val="24"/>
          <w:szCs w:val="24"/>
        </w:rPr>
        <w:t>Commissioner for Children and Young People Act 2016</w:t>
      </w:r>
      <w:r w:rsidRPr="00446159">
        <w:rPr>
          <w:rFonts w:eastAsia="Times New Roman" w:cs="Arial"/>
          <w:bCs/>
          <w:sz w:val="24"/>
          <w:szCs w:val="24"/>
        </w:rPr>
        <w:t>. The Commissioner is an independent statutory officer who reports to Parliament. The Commissioner’s main role is to advocate for and promote the wellbeing of children and young people. Wellbeing includes the care, development and education, and the physical, emotional and psychological health and safety, of children and young people.</w:t>
      </w:r>
    </w:p>
    <w:p w14:paraId="685851A4" w14:textId="77777777" w:rsidR="003044A3" w:rsidRDefault="003044A3" w:rsidP="003044A3">
      <w:pPr>
        <w:rPr>
          <w:rFonts w:eastAsia="Times New Roman" w:cs="Arial"/>
          <w:bCs/>
          <w:sz w:val="24"/>
          <w:szCs w:val="24"/>
        </w:rPr>
      </w:pPr>
      <w:r w:rsidRPr="00446159">
        <w:rPr>
          <w:rFonts w:eastAsia="Times New Roman" w:cs="Arial"/>
          <w:bCs/>
          <w:sz w:val="24"/>
          <w:szCs w:val="24"/>
        </w:rPr>
        <w:t>In performing the functions of the role, the Commissioner and those working in the Office of the Commissioner are required to take account of the United Nations Convention on the Rights of the Child.</w:t>
      </w:r>
    </w:p>
    <w:p w14:paraId="304903EC" w14:textId="77777777" w:rsidR="003044A3" w:rsidRPr="00446159" w:rsidRDefault="003044A3" w:rsidP="003044A3">
      <w:pPr>
        <w:rPr>
          <w:rFonts w:eastAsia="Times New Roman" w:cs="Arial"/>
          <w:bCs/>
          <w:sz w:val="24"/>
          <w:szCs w:val="24"/>
        </w:rPr>
      </w:pPr>
      <w:r w:rsidRPr="00446159">
        <w:rPr>
          <w:rFonts w:eastAsia="Times New Roman" w:cs="Arial"/>
          <w:bCs/>
          <w:sz w:val="24"/>
          <w:szCs w:val="24"/>
        </w:rPr>
        <w:t>Staff working in the Office of the Commissioner for Children and Young People are employees of the Department of Education Children and Young People (DECYP).</w:t>
      </w:r>
    </w:p>
    <w:p w14:paraId="3B330B65" w14:textId="77777777" w:rsidR="003044A3" w:rsidRPr="00446159" w:rsidRDefault="003044A3" w:rsidP="003044A3">
      <w:pPr>
        <w:rPr>
          <w:rFonts w:eastAsia="Times New Roman" w:cs="Arial"/>
          <w:bCs/>
          <w:sz w:val="24"/>
          <w:szCs w:val="24"/>
        </w:rPr>
      </w:pPr>
    </w:p>
    <w:p w14:paraId="5CFF0277" w14:textId="77777777" w:rsidR="009D6E8A" w:rsidRPr="00190B67" w:rsidRDefault="009D6E8A" w:rsidP="00697DE2">
      <w:pPr>
        <w:pStyle w:val="Heading2"/>
      </w:pPr>
      <w:r w:rsidRPr="00190B67">
        <w:lastRenderedPageBreak/>
        <w:t>Primary Purpose</w:t>
      </w:r>
    </w:p>
    <w:p w14:paraId="574E4CDE" w14:textId="44FEC7C5" w:rsidR="003044A3" w:rsidRPr="003044A3" w:rsidRDefault="003044A3" w:rsidP="003044A3">
      <w:pPr>
        <w:pStyle w:val="BodyText"/>
        <w:spacing w:before="161" w:line="259" w:lineRule="auto"/>
        <w:ind w:left="120" w:right="1769"/>
        <w:jc w:val="both"/>
        <w:rPr>
          <w:rFonts w:asciiTheme="minorHAnsi" w:hAnsiTheme="minorHAnsi" w:cstheme="minorHAnsi"/>
          <w:sz w:val="24"/>
          <w:szCs w:val="24"/>
        </w:rPr>
      </w:pPr>
      <w:r w:rsidRPr="003044A3">
        <w:rPr>
          <w:rFonts w:asciiTheme="minorHAnsi" w:hAnsiTheme="minorHAnsi" w:cstheme="minorHAnsi"/>
          <w:sz w:val="24"/>
          <w:szCs w:val="24"/>
        </w:rPr>
        <w:t>Under the</w:t>
      </w:r>
      <w:r w:rsidRPr="003044A3">
        <w:rPr>
          <w:rFonts w:asciiTheme="minorHAnsi" w:hAnsiTheme="minorHAnsi" w:cstheme="minorHAnsi"/>
          <w:spacing w:val="-3"/>
          <w:sz w:val="24"/>
          <w:szCs w:val="24"/>
        </w:rPr>
        <w:t xml:space="preserve"> </w:t>
      </w:r>
      <w:r w:rsidRPr="003044A3">
        <w:rPr>
          <w:rFonts w:asciiTheme="minorHAnsi" w:hAnsiTheme="minorHAnsi" w:cstheme="minorHAnsi"/>
          <w:sz w:val="24"/>
          <w:szCs w:val="24"/>
        </w:rPr>
        <w:t>general</w:t>
      </w:r>
      <w:r w:rsidRPr="003044A3">
        <w:rPr>
          <w:rFonts w:asciiTheme="minorHAnsi" w:hAnsiTheme="minorHAnsi" w:cstheme="minorHAnsi"/>
          <w:spacing w:val="-5"/>
          <w:sz w:val="24"/>
          <w:szCs w:val="24"/>
        </w:rPr>
        <w:t xml:space="preserve"> </w:t>
      </w:r>
      <w:r w:rsidRPr="003044A3">
        <w:rPr>
          <w:rFonts w:asciiTheme="minorHAnsi" w:hAnsiTheme="minorHAnsi" w:cstheme="minorHAnsi"/>
          <w:sz w:val="24"/>
          <w:szCs w:val="24"/>
        </w:rPr>
        <w:t>supervision</w:t>
      </w:r>
      <w:r w:rsidRPr="003044A3">
        <w:rPr>
          <w:rFonts w:asciiTheme="minorHAnsi" w:hAnsiTheme="minorHAnsi" w:cstheme="minorHAnsi"/>
          <w:spacing w:val="-3"/>
          <w:sz w:val="24"/>
          <w:szCs w:val="24"/>
        </w:rPr>
        <w:t xml:space="preserve"> </w:t>
      </w:r>
      <w:r w:rsidRPr="003044A3">
        <w:rPr>
          <w:rFonts w:asciiTheme="minorHAnsi" w:hAnsiTheme="minorHAnsi" w:cstheme="minorHAnsi"/>
          <w:sz w:val="24"/>
          <w:szCs w:val="24"/>
        </w:rPr>
        <w:t>of</w:t>
      </w:r>
      <w:r w:rsidRPr="003044A3">
        <w:rPr>
          <w:rFonts w:asciiTheme="minorHAnsi" w:hAnsiTheme="minorHAnsi" w:cstheme="minorHAnsi"/>
          <w:spacing w:val="-1"/>
          <w:sz w:val="24"/>
          <w:szCs w:val="24"/>
        </w:rPr>
        <w:t xml:space="preserve"> </w:t>
      </w:r>
      <w:r w:rsidRPr="003044A3">
        <w:rPr>
          <w:rFonts w:asciiTheme="minorHAnsi" w:hAnsiTheme="minorHAnsi" w:cstheme="minorHAnsi"/>
          <w:sz w:val="24"/>
          <w:szCs w:val="24"/>
        </w:rPr>
        <w:t>the</w:t>
      </w:r>
      <w:r w:rsidRPr="003044A3">
        <w:rPr>
          <w:rFonts w:asciiTheme="minorHAnsi" w:hAnsiTheme="minorHAnsi" w:cstheme="minorHAnsi"/>
          <w:spacing w:val="-3"/>
          <w:sz w:val="24"/>
          <w:szCs w:val="24"/>
        </w:rPr>
        <w:t xml:space="preserve"> </w:t>
      </w:r>
      <w:r w:rsidRPr="003044A3">
        <w:rPr>
          <w:rFonts w:asciiTheme="minorHAnsi" w:hAnsiTheme="minorHAnsi" w:cstheme="minorHAnsi"/>
          <w:sz w:val="24"/>
          <w:szCs w:val="24"/>
        </w:rPr>
        <w:t xml:space="preserve">Manager, </w:t>
      </w:r>
      <w:r w:rsidR="00FE747F">
        <w:rPr>
          <w:rFonts w:asciiTheme="minorHAnsi" w:hAnsiTheme="minorHAnsi" w:cstheme="minorHAnsi"/>
          <w:sz w:val="24"/>
          <w:szCs w:val="24"/>
        </w:rPr>
        <w:t>Monitoring and Engagement</w:t>
      </w:r>
      <w:r w:rsidRPr="003044A3">
        <w:rPr>
          <w:rFonts w:asciiTheme="minorHAnsi" w:hAnsiTheme="minorHAnsi" w:cstheme="minorHAnsi"/>
          <w:sz w:val="24"/>
          <w:szCs w:val="24"/>
        </w:rPr>
        <w:t>, the Senior Policy and Engagement Officer will:</w:t>
      </w:r>
    </w:p>
    <w:p w14:paraId="71E7D5E9" w14:textId="77777777" w:rsidR="003044A3" w:rsidRPr="00CA0D2D" w:rsidRDefault="003044A3" w:rsidP="003044A3">
      <w:pPr>
        <w:pStyle w:val="ListParagraph"/>
        <w:widowControl w:val="0"/>
        <w:numPr>
          <w:ilvl w:val="0"/>
          <w:numId w:val="40"/>
        </w:numPr>
        <w:tabs>
          <w:tab w:val="clear" w:pos="227"/>
          <w:tab w:val="clear" w:pos="454"/>
          <w:tab w:val="clear" w:pos="680"/>
          <w:tab w:val="clear" w:pos="907"/>
          <w:tab w:val="clear" w:pos="1134"/>
          <w:tab w:val="clear" w:pos="1361"/>
          <w:tab w:val="left" w:pos="684"/>
          <w:tab w:val="left" w:pos="686"/>
        </w:tabs>
        <w:autoSpaceDE w:val="0"/>
        <w:autoSpaceDN w:val="0"/>
        <w:spacing w:before="121" w:after="0" w:line="259" w:lineRule="auto"/>
        <w:ind w:right="84" w:hanging="402"/>
        <w:contextualSpacing w:val="0"/>
        <w:jc w:val="both"/>
        <w:rPr>
          <w:sz w:val="24"/>
          <w:szCs w:val="24"/>
        </w:rPr>
      </w:pPr>
      <w:r w:rsidRPr="00CA0D2D">
        <w:rPr>
          <w:sz w:val="24"/>
          <w:szCs w:val="24"/>
        </w:rPr>
        <w:t>In accordance with legal and statutory requirements, take responsibility for providing high level, specialised and strategic advice on a broad range of issues relating to the wellbeing of children and young people in Tasmania.</w:t>
      </w:r>
    </w:p>
    <w:p w14:paraId="66062FBF" w14:textId="77777777" w:rsidR="003044A3" w:rsidRPr="00CA0D2D" w:rsidRDefault="003044A3" w:rsidP="003044A3">
      <w:pPr>
        <w:pStyle w:val="ListParagraph"/>
        <w:widowControl w:val="0"/>
        <w:numPr>
          <w:ilvl w:val="0"/>
          <w:numId w:val="40"/>
        </w:numPr>
        <w:tabs>
          <w:tab w:val="clear" w:pos="227"/>
          <w:tab w:val="clear" w:pos="454"/>
          <w:tab w:val="clear" w:pos="680"/>
          <w:tab w:val="clear" w:pos="907"/>
          <w:tab w:val="clear" w:pos="1134"/>
          <w:tab w:val="clear" w:pos="1361"/>
          <w:tab w:val="left" w:pos="684"/>
          <w:tab w:val="left" w:pos="686"/>
        </w:tabs>
        <w:autoSpaceDE w:val="0"/>
        <w:autoSpaceDN w:val="0"/>
        <w:spacing w:before="120" w:after="0" w:line="259" w:lineRule="auto"/>
        <w:ind w:right="84" w:hanging="402"/>
        <w:contextualSpacing w:val="0"/>
        <w:jc w:val="both"/>
        <w:rPr>
          <w:sz w:val="24"/>
          <w:szCs w:val="24"/>
        </w:rPr>
      </w:pPr>
      <w:r w:rsidRPr="00CA0D2D">
        <w:rPr>
          <w:sz w:val="24"/>
          <w:szCs w:val="24"/>
        </w:rPr>
        <w:t>Investigate, review, research and analyse current or proposed legislation, policies, practices and services which are provided to, or have the capacity to impact upon, children and young people in Tasmania.</w:t>
      </w:r>
    </w:p>
    <w:p w14:paraId="1662A601" w14:textId="77777777" w:rsidR="003044A3" w:rsidRPr="00CA0D2D" w:rsidRDefault="003044A3" w:rsidP="003044A3">
      <w:pPr>
        <w:pStyle w:val="ListParagraph"/>
        <w:widowControl w:val="0"/>
        <w:numPr>
          <w:ilvl w:val="0"/>
          <w:numId w:val="40"/>
        </w:numPr>
        <w:tabs>
          <w:tab w:val="clear" w:pos="227"/>
          <w:tab w:val="clear" w:pos="454"/>
          <w:tab w:val="clear" w:pos="680"/>
          <w:tab w:val="clear" w:pos="907"/>
          <w:tab w:val="clear" w:pos="1134"/>
          <w:tab w:val="clear" w:pos="1361"/>
          <w:tab w:val="left" w:pos="684"/>
          <w:tab w:val="left" w:pos="686"/>
        </w:tabs>
        <w:autoSpaceDE w:val="0"/>
        <w:autoSpaceDN w:val="0"/>
        <w:spacing w:before="120" w:after="0" w:line="259" w:lineRule="auto"/>
        <w:ind w:right="84" w:hanging="402"/>
        <w:contextualSpacing w:val="0"/>
        <w:jc w:val="both"/>
        <w:rPr>
          <w:sz w:val="24"/>
          <w:szCs w:val="24"/>
        </w:rPr>
      </w:pPr>
      <w:r w:rsidRPr="00CA0D2D">
        <w:rPr>
          <w:sz w:val="24"/>
          <w:szCs w:val="24"/>
        </w:rPr>
        <w:t>Support</w:t>
      </w:r>
      <w:r w:rsidRPr="00CA0D2D">
        <w:rPr>
          <w:spacing w:val="-11"/>
          <w:sz w:val="24"/>
          <w:szCs w:val="24"/>
        </w:rPr>
        <w:t xml:space="preserve"> </w:t>
      </w:r>
      <w:r w:rsidRPr="00CA0D2D">
        <w:rPr>
          <w:sz w:val="24"/>
          <w:szCs w:val="24"/>
        </w:rPr>
        <w:t>the</w:t>
      </w:r>
      <w:r w:rsidRPr="00CA0D2D">
        <w:rPr>
          <w:spacing w:val="-12"/>
          <w:sz w:val="24"/>
          <w:szCs w:val="24"/>
        </w:rPr>
        <w:t xml:space="preserve"> </w:t>
      </w:r>
      <w:r w:rsidRPr="00CA0D2D">
        <w:rPr>
          <w:sz w:val="24"/>
          <w:szCs w:val="24"/>
        </w:rPr>
        <w:t>Commissioner</w:t>
      </w:r>
      <w:r w:rsidRPr="00CA0D2D">
        <w:rPr>
          <w:spacing w:val="-10"/>
          <w:sz w:val="24"/>
          <w:szCs w:val="24"/>
        </w:rPr>
        <w:t xml:space="preserve"> </w:t>
      </w:r>
      <w:r w:rsidRPr="00CA0D2D">
        <w:rPr>
          <w:sz w:val="24"/>
          <w:szCs w:val="24"/>
        </w:rPr>
        <w:t>in</w:t>
      </w:r>
      <w:r w:rsidRPr="00CA0D2D">
        <w:rPr>
          <w:spacing w:val="-13"/>
          <w:sz w:val="24"/>
          <w:szCs w:val="24"/>
        </w:rPr>
        <w:t xml:space="preserve"> </w:t>
      </w:r>
      <w:r w:rsidRPr="00CA0D2D">
        <w:rPr>
          <w:sz w:val="24"/>
          <w:szCs w:val="24"/>
        </w:rPr>
        <w:t>the</w:t>
      </w:r>
      <w:r w:rsidRPr="00CA0D2D">
        <w:rPr>
          <w:spacing w:val="-11"/>
          <w:sz w:val="24"/>
          <w:szCs w:val="24"/>
        </w:rPr>
        <w:t xml:space="preserve"> </w:t>
      </w:r>
      <w:r w:rsidRPr="00CA0D2D">
        <w:rPr>
          <w:sz w:val="24"/>
          <w:szCs w:val="24"/>
        </w:rPr>
        <w:t>design,</w:t>
      </w:r>
      <w:r w:rsidRPr="00CA0D2D">
        <w:rPr>
          <w:spacing w:val="-13"/>
          <w:sz w:val="24"/>
          <w:szCs w:val="24"/>
        </w:rPr>
        <w:t xml:space="preserve"> </w:t>
      </w:r>
      <w:r w:rsidRPr="00CA0D2D">
        <w:rPr>
          <w:sz w:val="24"/>
          <w:szCs w:val="24"/>
        </w:rPr>
        <w:t>coordination</w:t>
      </w:r>
      <w:r w:rsidRPr="00CA0D2D">
        <w:rPr>
          <w:spacing w:val="-11"/>
          <w:sz w:val="24"/>
          <w:szCs w:val="24"/>
        </w:rPr>
        <w:t xml:space="preserve"> </w:t>
      </w:r>
      <w:r w:rsidRPr="00CA0D2D">
        <w:rPr>
          <w:sz w:val="24"/>
          <w:szCs w:val="24"/>
        </w:rPr>
        <w:t>and</w:t>
      </w:r>
      <w:r w:rsidRPr="00CA0D2D">
        <w:rPr>
          <w:spacing w:val="-10"/>
          <w:sz w:val="24"/>
          <w:szCs w:val="24"/>
        </w:rPr>
        <w:t xml:space="preserve"> </w:t>
      </w:r>
      <w:r w:rsidRPr="00CA0D2D">
        <w:rPr>
          <w:sz w:val="24"/>
          <w:szCs w:val="24"/>
        </w:rPr>
        <w:t>undertaking</w:t>
      </w:r>
      <w:r w:rsidRPr="00CA0D2D">
        <w:rPr>
          <w:spacing w:val="-13"/>
          <w:sz w:val="24"/>
          <w:szCs w:val="24"/>
        </w:rPr>
        <w:t xml:space="preserve"> </w:t>
      </w:r>
      <w:r w:rsidRPr="00CA0D2D">
        <w:rPr>
          <w:sz w:val="24"/>
          <w:szCs w:val="24"/>
        </w:rPr>
        <w:t>of</w:t>
      </w:r>
      <w:r w:rsidRPr="00CA0D2D">
        <w:rPr>
          <w:spacing w:val="-12"/>
          <w:sz w:val="24"/>
          <w:szCs w:val="24"/>
        </w:rPr>
        <w:t xml:space="preserve"> </w:t>
      </w:r>
      <w:r w:rsidRPr="00CA0D2D">
        <w:rPr>
          <w:sz w:val="24"/>
          <w:szCs w:val="24"/>
        </w:rPr>
        <w:t>consultations and other engagement activities with children and young people.</w:t>
      </w:r>
    </w:p>
    <w:p w14:paraId="4E7F140F"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1828EBB7" w14:textId="77777777" w:rsidR="003044A3" w:rsidRPr="003044A3" w:rsidRDefault="003044A3" w:rsidP="003044A3">
      <w:pPr>
        <w:pStyle w:val="BodyText"/>
        <w:spacing w:before="161" w:line="259" w:lineRule="auto"/>
        <w:ind w:left="120" w:right="84"/>
        <w:jc w:val="both"/>
        <w:rPr>
          <w:rFonts w:asciiTheme="minorHAnsi" w:hAnsiTheme="minorHAnsi" w:cstheme="minorHAnsi"/>
          <w:sz w:val="24"/>
          <w:szCs w:val="24"/>
        </w:rPr>
      </w:pPr>
      <w:bookmarkStart w:id="1" w:name="_Hlk127543251"/>
      <w:r w:rsidRPr="003044A3">
        <w:rPr>
          <w:rFonts w:asciiTheme="minorHAnsi" w:hAnsiTheme="minorHAnsi" w:cstheme="minorHAnsi"/>
          <w:sz w:val="24"/>
          <w:szCs w:val="24"/>
        </w:rPr>
        <w:t>Under the broad direction of the Manager, Policy and Monitoring, the Senior Policy and Engagement Officer will:</w:t>
      </w:r>
    </w:p>
    <w:p w14:paraId="74E784CC" w14:textId="77777777" w:rsidR="003044A3" w:rsidRPr="00CA0D2D" w:rsidRDefault="003044A3" w:rsidP="003044A3">
      <w:pPr>
        <w:pStyle w:val="ListParagraph"/>
        <w:widowControl w:val="0"/>
        <w:numPr>
          <w:ilvl w:val="1"/>
          <w:numId w:val="41"/>
        </w:numPr>
        <w:tabs>
          <w:tab w:val="clear" w:pos="227"/>
          <w:tab w:val="clear" w:pos="454"/>
          <w:tab w:val="clear" w:pos="680"/>
          <w:tab w:val="clear" w:pos="907"/>
          <w:tab w:val="clear" w:pos="1134"/>
          <w:tab w:val="clear" w:pos="1361"/>
          <w:tab w:val="left" w:pos="684"/>
          <w:tab w:val="left" w:pos="686"/>
        </w:tabs>
        <w:autoSpaceDE w:val="0"/>
        <w:autoSpaceDN w:val="0"/>
        <w:spacing w:before="123" w:after="0" w:line="259" w:lineRule="auto"/>
        <w:ind w:right="84" w:hanging="402"/>
        <w:contextualSpacing w:val="0"/>
        <w:jc w:val="both"/>
        <w:rPr>
          <w:sz w:val="24"/>
          <w:szCs w:val="24"/>
        </w:rPr>
      </w:pPr>
      <w:r w:rsidRPr="00CA0D2D">
        <w:rPr>
          <w:sz w:val="24"/>
          <w:szCs w:val="24"/>
        </w:rPr>
        <w:t>Provide</w:t>
      </w:r>
      <w:r w:rsidRPr="00CA0D2D">
        <w:rPr>
          <w:spacing w:val="-6"/>
          <w:sz w:val="24"/>
          <w:szCs w:val="24"/>
        </w:rPr>
        <w:t xml:space="preserve"> </w:t>
      </w:r>
      <w:r w:rsidRPr="00CA0D2D">
        <w:rPr>
          <w:sz w:val="24"/>
          <w:szCs w:val="24"/>
        </w:rPr>
        <w:t>high</w:t>
      </w:r>
      <w:r w:rsidRPr="00CA0D2D">
        <w:rPr>
          <w:spacing w:val="-9"/>
          <w:sz w:val="24"/>
          <w:szCs w:val="24"/>
        </w:rPr>
        <w:t xml:space="preserve"> </w:t>
      </w:r>
      <w:r w:rsidRPr="00CA0D2D">
        <w:rPr>
          <w:sz w:val="24"/>
          <w:szCs w:val="24"/>
        </w:rPr>
        <w:t>level,</w:t>
      </w:r>
      <w:r w:rsidRPr="00CA0D2D">
        <w:rPr>
          <w:spacing w:val="-9"/>
          <w:sz w:val="24"/>
          <w:szCs w:val="24"/>
        </w:rPr>
        <w:t xml:space="preserve"> </w:t>
      </w:r>
      <w:r w:rsidRPr="00CA0D2D">
        <w:rPr>
          <w:sz w:val="24"/>
          <w:szCs w:val="24"/>
        </w:rPr>
        <w:t>authoritative</w:t>
      </w:r>
      <w:r w:rsidRPr="00CA0D2D">
        <w:rPr>
          <w:spacing w:val="-7"/>
          <w:sz w:val="24"/>
          <w:szCs w:val="24"/>
        </w:rPr>
        <w:t xml:space="preserve"> </w:t>
      </w:r>
      <w:r w:rsidRPr="00CA0D2D">
        <w:rPr>
          <w:sz w:val="24"/>
          <w:szCs w:val="24"/>
        </w:rPr>
        <w:t>and</w:t>
      </w:r>
      <w:r w:rsidRPr="00CA0D2D">
        <w:rPr>
          <w:spacing w:val="-8"/>
          <w:sz w:val="24"/>
          <w:szCs w:val="24"/>
        </w:rPr>
        <w:t xml:space="preserve"> </w:t>
      </w:r>
      <w:r w:rsidRPr="00CA0D2D">
        <w:rPr>
          <w:sz w:val="24"/>
          <w:szCs w:val="24"/>
        </w:rPr>
        <w:t>conceptual</w:t>
      </w:r>
      <w:r w:rsidRPr="00CA0D2D">
        <w:rPr>
          <w:spacing w:val="-6"/>
          <w:sz w:val="24"/>
          <w:szCs w:val="24"/>
        </w:rPr>
        <w:t xml:space="preserve"> </w:t>
      </w:r>
      <w:r w:rsidRPr="00CA0D2D">
        <w:rPr>
          <w:sz w:val="24"/>
          <w:szCs w:val="24"/>
        </w:rPr>
        <w:t>advice</w:t>
      </w:r>
      <w:r w:rsidRPr="00CA0D2D">
        <w:rPr>
          <w:spacing w:val="-6"/>
          <w:sz w:val="24"/>
          <w:szCs w:val="24"/>
        </w:rPr>
        <w:t xml:space="preserve"> </w:t>
      </w:r>
      <w:r w:rsidRPr="00CA0D2D">
        <w:rPr>
          <w:sz w:val="24"/>
          <w:szCs w:val="24"/>
        </w:rPr>
        <w:t>on</w:t>
      </w:r>
      <w:r w:rsidRPr="00CA0D2D">
        <w:rPr>
          <w:spacing w:val="-7"/>
          <w:sz w:val="24"/>
          <w:szCs w:val="24"/>
        </w:rPr>
        <w:t xml:space="preserve"> </w:t>
      </w:r>
      <w:r w:rsidRPr="00CA0D2D">
        <w:rPr>
          <w:sz w:val="24"/>
          <w:szCs w:val="24"/>
        </w:rPr>
        <w:t>a</w:t>
      </w:r>
      <w:r w:rsidRPr="00CA0D2D">
        <w:rPr>
          <w:spacing w:val="-8"/>
          <w:sz w:val="24"/>
          <w:szCs w:val="24"/>
        </w:rPr>
        <w:t xml:space="preserve"> </w:t>
      </w:r>
      <w:r w:rsidRPr="00CA0D2D">
        <w:rPr>
          <w:sz w:val="24"/>
          <w:szCs w:val="24"/>
        </w:rPr>
        <w:t>broad</w:t>
      </w:r>
      <w:r w:rsidRPr="00CA0D2D">
        <w:rPr>
          <w:spacing w:val="-9"/>
          <w:sz w:val="24"/>
          <w:szCs w:val="24"/>
        </w:rPr>
        <w:t xml:space="preserve"> </w:t>
      </w:r>
      <w:r w:rsidRPr="00CA0D2D">
        <w:rPr>
          <w:sz w:val="24"/>
          <w:szCs w:val="24"/>
        </w:rPr>
        <w:t>range</w:t>
      </w:r>
      <w:r w:rsidRPr="00CA0D2D">
        <w:rPr>
          <w:spacing w:val="-7"/>
          <w:sz w:val="24"/>
          <w:szCs w:val="24"/>
        </w:rPr>
        <w:t xml:space="preserve"> </w:t>
      </w:r>
      <w:r w:rsidRPr="00CA0D2D">
        <w:rPr>
          <w:sz w:val="24"/>
          <w:szCs w:val="24"/>
        </w:rPr>
        <w:t>of</w:t>
      </w:r>
      <w:r w:rsidRPr="00CA0D2D">
        <w:rPr>
          <w:spacing w:val="-7"/>
          <w:sz w:val="24"/>
          <w:szCs w:val="24"/>
        </w:rPr>
        <w:t xml:space="preserve"> </w:t>
      </w:r>
      <w:r w:rsidRPr="00CA0D2D">
        <w:rPr>
          <w:sz w:val="24"/>
          <w:szCs w:val="24"/>
        </w:rPr>
        <w:t>policy</w:t>
      </w:r>
      <w:r w:rsidRPr="00CA0D2D">
        <w:rPr>
          <w:spacing w:val="-6"/>
          <w:sz w:val="24"/>
          <w:szCs w:val="24"/>
        </w:rPr>
        <w:t xml:space="preserve"> </w:t>
      </w:r>
      <w:r w:rsidRPr="00CA0D2D">
        <w:rPr>
          <w:sz w:val="24"/>
          <w:szCs w:val="24"/>
        </w:rPr>
        <w:t>issues relevant to the functions of the Office of the Commissioner for Children and Young People.</w:t>
      </w:r>
    </w:p>
    <w:p w14:paraId="70DE8496" w14:textId="77777777" w:rsidR="003044A3" w:rsidRPr="00CA0D2D" w:rsidRDefault="003044A3" w:rsidP="003044A3">
      <w:pPr>
        <w:pStyle w:val="ListParagraph"/>
        <w:widowControl w:val="0"/>
        <w:numPr>
          <w:ilvl w:val="1"/>
          <w:numId w:val="41"/>
        </w:numPr>
        <w:tabs>
          <w:tab w:val="clear" w:pos="227"/>
          <w:tab w:val="clear" w:pos="454"/>
          <w:tab w:val="clear" w:pos="680"/>
          <w:tab w:val="clear" w:pos="907"/>
          <w:tab w:val="clear" w:pos="1134"/>
          <w:tab w:val="clear" w:pos="1361"/>
          <w:tab w:val="left" w:pos="684"/>
          <w:tab w:val="left" w:pos="686"/>
        </w:tabs>
        <w:autoSpaceDE w:val="0"/>
        <w:autoSpaceDN w:val="0"/>
        <w:spacing w:before="123" w:after="0" w:line="259" w:lineRule="auto"/>
        <w:ind w:right="84" w:hanging="402"/>
        <w:contextualSpacing w:val="0"/>
        <w:jc w:val="both"/>
        <w:rPr>
          <w:sz w:val="24"/>
          <w:szCs w:val="24"/>
        </w:rPr>
      </w:pPr>
      <w:r w:rsidRPr="00CA0D2D">
        <w:rPr>
          <w:sz w:val="24"/>
          <w:szCs w:val="24"/>
        </w:rPr>
        <w:t>Maintain</w:t>
      </w:r>
      <w:r w:rsidRPr="00CA0D2D">
        <w:rPr>
          <w:spacing w:val="-8"/>
          <w:sz w:val="24"/>
          <w:szCs w:val="24"/>
        </w:rPr>
        <w:t xml:space="preserve"> </w:t>
      </w:r>
      <w:r w:rsidRPr="00CA0D2D">
        <w:rPr>
          <w:sz w:val="24"/>
          <w:szCs w:val="24"/>
        </w:rPr>
        <w:t>high</w:t>
      </w:r>
      <w:r w:rsidRPr="00CA0D2D">
        <w:rPr>
          <w:spacing w:val="-8"/>
          <w:sz w:val="24"/>
          <w:szCs w:val="24"/>
        </w:rPr>
        <w:t xml:space="preserve"> </w:t>
      </w:r>
      <w:r w:rsidRPr="00CA0D2D">
        <w:rPr>
          <w:sz w:val="24"/>
          <w:szCs w:val="24"/>
        </w:rPr>
        <w:t>level</w:t>
      </w:r>
      <w:r w:rsidRPr="00CA0D2D">
        <w:rPr>
          <w:spacing w:val="-7"/>
          <w:sz w:val="24"/>
          <w:szCs w:val="24"/>
        </w:rPr>
        <w:t xml:space="preserve"> </w:t>
      </w:r>
      <w:r w:rsidRPr="00CA0D2D">
        <w:rPr>
          <w:sz w:val="24"/>
          <w:szCs w:val="24"/>
        </w:rPr>
        <w:t>knowledge</w:t>
      </w:r>
      <w:r w:rsidRPr="00CA0D2D">
        <w:rPr>
          <w:spacing w:val="-8"/>
          <w:sz w:val="24"/>
          <w:szCs w:val="24"/>
        </w:rPr>
        <w:t xml:space="preserve"> </w:t>
      </w:r>
      <w:r w:rsidRPr="00CA0D2D">
        <w:rPr>
          <w:sz w:val="24"/>
          <w:szCs w:val="24"/>
        </w:rPr>
        <w:t>of</w:t>
      </w:r>
      <w:r w:rsidRPr="00CA0D2D">
        <w:rPr>
          <w:spacing w:val="-8"/>
          <w:sz w:val="24"/>
          <w:szCs w:val="24"/>
        </w:rPr>
        <w:t xml:space="preserve"> </w:t>
      </w:r>
      <w:r w:rsidRPr="00CA0D2D">
        <w:rPr>
          <w:sz w:val="24"/>
          <w:szCs w:val="24"/>
        </w:rPr>
        <w:t>State</w:t>
      </w:r>
      <w:r w:rsidRPr="00CA0D2D">
        <w:rPr>
          <w:spacing w:val="-8"/>
          <w:sz w:val="24"/>
          <w:szCs w:val="24"/>
        </w:rPr>
        <w:t xml:space="preserve"> </w:t>
      </w:r>
      <w:r w:rsidRPr="00CA0D2D">
        <w:rPr>
          <w:sz w:val="24"/>
          <w:szCs w:val="24"/>
        </w:rPr>
        <w:t>and</w:t>
      </w:r>
      <w:r w:rsidRPr="00CA0D2D">
        <w:rPr>
          <w:spacing w:val="-7"/>
          <w:sz w:val="24"/>
          <w:szCs w:val="24"/>
        </w:rPr>
        <w:t xml:space="preserve"> </w:t>
      </w:r>
      <w:r w:rsidRPr="00CA0D2D">
        <w:rPr>
          <w:sz w:val="24"/>
          <w:szCs w:val="24"/>
        </w:rPr>
        <w:t>Commonwealth</w:t>
      </w:r>
      <w:r w:rsidRPr="00CA0D2D">
        <w:rPr>
          <w:spacing w:val="-8"/>
          <w:sz w:val="24"/>
          <w:szCs w:val="24"/>
        </w:rPr>
        <w:t xml:space="preserve"> </w:t>
      </w:r>
      <w:r w:rsidRPr="00CA0D2D">
        <w:rPr>
          <w:sz w:val="24"/>
          <w:szCs w:val="24"/>
        </w:rPr>
        <w:t>legislation,</w:t>
      </w:r>
      <w:r w:rsidRPr="00CA0D2D">
        <w:rPr>
          <w:spacing w:val="-8"/>
          <w:sz w:val="24"/>
          <w:szCs w:val="24"/>
        </w:rPr>
        <w:t xml:space="preserve"> </w:t>
      </w:r>
      <w:r w:rsidRPr="00CA0D2D">
        <w:rPr>
          <w:sz w:val="24"/>
          <w:szCs w:val="24"/>
        </w:rPr>
        <w:t>policy</w:t>
      </w:r>
    </w:p>
    <w:p w14:paraId="23915FB6" w14:textId="77777777" w:rsidR="003044A3" w:rsidRPr="00CA0D2D" w:rsidRDefault="003044A3" w:rsidP="003044A3">
      <w:pPr>
        <w:pStyle w:val="ListParagraph"/>
        <w:widowControl w:val="0"/>
        <w:numPr>
          <w:ilvl w:val="1"/>
          <w:numId w:val="41"/>
        </w:numPr>
        <w:tabs>
          <w:tab w:val="clear" w:pos="227"/>
          <w:tab w:val="clear" w:pos="454"/>
          <w:tab w:val="clear" w:pos="680"/>
          <w:tab w:val="clear" w:pos="907"/>
          <w:tab w:val="clear" w:pos="1134"/>
          <w:tab w:val="clear" w:pos="1361"/>
          <w:tab w:val="left" w:pos="684"/>
          <w:tab w:val="left" w:pos="686"/>
        </w:tabs>
        <w:autoSpaceDE w:val="0"/>
        <w:autoSpaceDN w:val="0"/>
        <w:spacing w:before="117" w:after="0" w:line="256" w:lineRule="auto"/>
        <w:ind w:right="84" w:hanging="402"/>
        <w:contextualSpacing w:val="0"/>
        <w:jc w:val="both"/>
        <w:rPr>
          <w:sz w:val="24"/>
          <w:szCs w:val="24"/>
        </w:rPr>
      </w:pPr>
      <w:r w:rsidRPr="00CA0D2D">
        <w:rPr>
          <w:sz w:val="24"/>
          <w:szCs w:val="24"/>
        </w:rPr>
        <w:t>directions and service delivery relating to the wellbeing of children and young people.</w:t>
      </w:r>
    </w:p>
    <w:p w14:paraId="1B118E47" w14:textId="77777777" w:rsidR="003044A3" w:rsidRPr="00CA0D2D" w:rsidRDefault="003044A3" w:rsidP="003044A3">
      <w:pPr>
        <w:pStyle w:val="ListParagraph"/>
        <w:widowControl w:val="0"/>
        <w:numPr>
          <w:ilvl w:val="1"/>
          <w:numId w:val="41"/>
        </w:numPr>
        <w:tabs>
          <w:tab w:val="clear" w:pos="227"/>
          <w:tab w:val="clear" w:pos="454"/>
          <w:tab w:val="clear" w:pos="680"/>
          <w:tab w:val="clear" w:pos="907"/>
          <w:tab w:val="clear" w:pos="1134"/>
          <w:tab w:val="clear" w:pos="1361"/>
          <w:tab w:val="left" w:pos="684"/>
          <w:tab w:val="left" w:pos="686"/>
        </w:tabs>
        <w:autoSpaceDE w:val="0"/>
        <w:autoSpaceDN w:val="0"/>
        <w:spacing w:before="125" w:after="0" w:line="256" w:lineRule="auto"/>
        <w:ind w:right="84" w:hanging="402"/>
        <w:contextualSpacing w:val="0"/>
        <w:jc w:val="both"/>
        <w:rPr>
          <w:sz w:val="24"/>
          <w:szCs w:val="24"/>
        </w:rPr>
      </w:pPr>
      <w:r w:rsidRPr="00CA0D2D">
        <w:rPr>
          <w:sz w:val="24"/>
          <w:szCs w:val="24"/>
        </w:rPr>
        <w:t>Perform the role with a significant degree of independence and autonomy within a complex and confidential work environment.</w:t>
      </w:r>
    </w:p>
    <w:p w14:paraId="579FB4B8" w14:textId="09D4B1E7" w:rsidR="003044A3" w:rsidRPr="003044A3" w:rsidRDefault="003044A3" w:rsidP="003044A3">
      <w:pPr>
        <w:pStyle w:val="ListParagraph"/>
        <w:widowControl w:val="0"/>
        <w:numPr>
          <w:ilvl w:val="1"/>
          <w:numId w:val="41"/>
        </w:numPr>
        <w:tabs>
          <w:tab w:val="clear" w:pos="227"/>
          <w:tab w:val="clear" w:pos="454"/>
          <w:tab w:val="clear" w:pos="680"/>
          <w:tab w:val="clear" w:pos="907"/>
          <w:tab w:val="clear" w:pos="1134"/>
          <w:tab w:val="clear" w:pos="1361"/>
          <w:tab w:val="left" w:pos="686"/>
          <w:tab w:val="left" w:pos="686"/>
        </w:tabs>
        <w:autoSpaceDE w:val="0"/>
        <w:autoSpaceDN w:val="0"/>
        <w:spacing w:before="123" w:after="0" w:line="259" w:lineRule="auto"/>
        <w:ind w:right="84" w:hanging="402"/>
        <w:contextualSpacing w:val="0"/>
        <w:jc w:val="both"/>
        <w:rPr>
          <w:sz w:val="24"/>
          <w:szCs w:val="24"/>
        </w:rPr>
      </w:pPr>
      <w:r w:rsidRPr="00CA0D2D">
        <w:rPr>
          <w:sz w:val="24"/>
          <w:szCs w:val="24"/>
        </w:rPr>
        <w:t>Apply initiative and judgement in the planning, organisation and prioritisation of workloads.</w:t>
      </w:r>
      <w:r>
        <w:rPr>
          <w:sz w:val="24"/>
          <w:szCs w:val="24"/>
        </w:rPr>
        <w:br/>
      </w:r>
    </w:p>
    <w:p w14:paraId="15D81921"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1E48BD17"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678AD460"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w:t>
      </w:r>
      <w:r w:rsidRPr="00611319">
        <w:rPr>
          <w:rFonts w:eastAsia="Times New Roman"/>
          <w:sz w:val="24"/>
          <w:szCs w:val="24"/>
        </w:rPr>
        <w:lastRenderedPageBreak/>
        <w:t xml:space="preserve">expected to exercise any applicable delegations prudently and in accordance with a range of Acts, Regulations, Awards, administrative authorities and functional arrangements. </w:t>
      </w:r>
    </w:p>
    <w:bookmarkEnd w:id="1"/>
    <w:p w14:paraId="31A3AA42" w14:textId="77777777" w:rsidR="001733FD" w:rsidRDefault="009D6E8A" w:rsidP="00697DE2">
      <w:pPr>
        <w:pStyle w:val="Heading2"/>
        <w:rPr>
          <w:color w:val="011947"/>
        </w:rPr>
      </w:pPr>
      <w:r w:rsidRPr="00190B67">
        <w:rPr>
          <w:color w:val="011947"/>
        </w:rPr>
        <w:t>Primary Duties</w:t>
      </w:r>
    </w:p>
    <w:p w14:paraId="7603AC28"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6E1B6281" wp14:editId="2B9ED631">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FBCC22"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F5DD234" w14:textId="77777777" w:rsidR="003044A3" w:rsidRDefault="003044A3" w:rsidP="003044A3">
      <w:pPr>
        <w:pStyle w:val="ListParagraph"/>
        <w:widowControl w:val="0"/>
        <w:numPr>
          <w:ilvl w:val="0"/>
          <w:numId w:val="32"/>
        </w:numPr>
        <w:tabs>
          <w:tab w:val="clear" w:pos="227"/>
          <w:tab w:val="clear" w:pos="454"/>
          <w:tab w:val="clear" w:pos="680"/>
          <w:tab w:val="clear" w:pos="907"/>
          <w:tab w:val="clear" w:pos="1134"/>
          <w:tab w:val="clear" w:pos="1361"/>
        </w:tabs>
        <w:autoSpaceDE w:val="0"/>
        <w:autoSpaceDN w:val="0"/>
        <w:spacing w:before="161" w:after="0" w:line="259" w:lineRule="auto"/>
        <w:ind w:right="84"/>
        <w:contextualSpacing w:val="0"/>
        <w:jc w:val="both"/>
        <w:rPr>
          <w:sz w:val="24"/>
        </w:rPr>
      </w:pPr>
      <w:r>
        <w:rPr>
          <w:sz w:val="24"/>
        </w:rPr>
        <w:t>Support the Commissioner for Children and Young People by providing high level strategic, conceptual and analytical thinking on policy and other issues related to the promotion and protection of the rights and wellbeing of children and young people in Tasmania.</w:t>
      </w:r>
    </w:p>
    <w:p w14:paraId="5D560402" w14:textId="77777777" w:rsidR="003044A3" w:rsidRPr="00831D88" w:rsidRDefault="003044A3" w:rsidP="003044A3">
      <w:pPr>
        <w:pStyle w:val="ListParagraph"/>
        <w:widowControl w:val="0"/>
        <w:numPr>
          <w:ilvl w:val="0"/>
          <w:numId w:val="32"/>
        </w:numPr>
        <w:tabs>
          <w:tab w:val="clear" w:pos="227"/>
          <w:tab w:val="clear" w:pos="454"/>
          <w:tab w:val="clear" w:pos="680"/>
          <w:tab w:val="clear" w:pos="907"/>
          <w:tab w:val="clear" w:pos="1134"/>
          <w:tab w:val="clear" w:pos="1361"/>
        </w:tabs>
        <w:autoSpaceDE w:val="0"/>
        <w:autoSpaceDN w:val="0"/>
        <w:spacing w:before="140" w:after="0" w:line="259" w:lineRule="auto"/>
        <w:ind w:right="84"/>
        <w:contextualSpacing w:val="0"/>
        <w:jc w:val="both"/>
        <w:rPr>
          <w:sz w:val="24"/>
        </w:rPr>
      </w:pPr>
      <w:r w:rsidRPr="00831D88">
        <w:rPr>
          <w:sz w:val="24"/>
        </w:rPr>
        <w:t>Support</w:t>
      </w:r>
      <w:r w:rsidRPr="00831D88">
        <w:rPr>
          <w:spacing w:val="-14"/>
          <w:sz w:val="24"/>
        </w:rPr>
        <w:t xml:space="preserve"> </w:t>
      </w:r>
      <w:r w:rsidRPr="00831D88">
        <w:rPr>
          <w:sz w:val="24"/>
        </w:rPr>
        <w:t>the</w:t>
      </w:r>
      <w:r w:rsidRPr="00831D88">
        <w:rPr>
          <w:spacing w:val="-14"/>
          <w:sz w:val="24"/>
        </w:rPr>
        <w:t xml:space="preserve"> </w:t>
      </w:r>
      <w:r w:rsidRPr="00831D88">
        <w:rPr>
          <w:sz w:val="24"/>
        </w:rPr>
        <w:t>Commissioner</w:t>
      </w:r>
      <w:r w:rsidRPr="00831D88">
        <w:rPr>
          <w:spacing w:val="-13"/>
          <w:sz w:val="24"/>
        </w:rPr>
        <w:t xml:space="preserve"> </w:t>
      </w:r>
      <w:r w:rsidRPr="00831D88">
        <w:rPr>
          <w:sz w:val="24"/>
        </w:rPr>
        <w:t>in</w:t>
      </w:r>
      <w:r w:rsidRPr="00831D88">
        <w:rPr>
          <w:spacing w:val="-16"/>
          <w:sz w:val="24"/>
        </w:rPr>
        <w:t xml:space="preserve"> </w:t>
      </w:r>
      <w:r w:rsidRPr="00831D88">
        <w:rPr>
          <w:sz w:val="24"/>
        </w:rPr>
        <w:t>designing,</w:t>
      </w:r>
      <w:r w:rsidRPr="00831D88">
        <w:rPr>
          <w:spacing w:val="-16"/>
          <w:sz w:val="24"/>
        </w:rPr>
        <w:t xml:space="preserve"> </w:t>
      </w:r>
      <w:r w:rsidRPr="00831D88">
        <w:rPr>
          <w:sz w:val="24"/>
        </w:rPr>
        <w:t>coordinating</w:t>
      </w:r>
      <w:r w:rsidRPr="00831D88">
        <w:rPr>
          <w:spacing w:val="-13"/>
          <w:sz w:val="24"/>
        </w:rPr>
        <w:t xml:space="preserve"> </w:t>
      </w:r>
      <w:r w:rsidRPr="00831D88">
        <w:rPr>
          <w:sz w:val="24"/>
        </w:rPr>
        <w:t>and</w:t>
      </w:r>
      <w:r w:rsidRPr="00831D88">
        <w:rPr>
          <w:spacing w:val="-15"/>
          <w:sz w:val="24"/>
        </w:rPr>
        <w:t xml:space="preserve"> </w:t>
      </w:r>
      <w:r w:rsidRPr="00831D88">
        <w:rPr>
          <w:sz w:val="24"/>
        </w:rPr>
        <w:t>undertaking</w:t>
      </w:r>
      <w:r w:rsidRPr="00831D88">
        <w:rPr>
          <w:spacing w:val="-15"/>
          <w:sz w:val="24"/>
        </w:rPr>
        <w:t xml:space="preserve"> </w:t>
      </w:r>
      <w:r w:rsidRPr="00831D88">
        <w:rPr>
          <w:sz w:val="24"/>
        </w:rPr>
        <w:t>consultations</w:t>
      </w:r>
      <w:r w:rsidRPr="00831D88">
        <w:rPr>
          <w:spacing w:val="-13"/>
          <w:sz w:val="24"/>
        </w:rPr>
        <w:t xml:space="preserve"> </w:t>
      </w:r>
      <w:r w:rsidRPr="00831D88">
        <w:rPr>
          <w:sz w:val="24"/>
        </w:rPr>
        <w:t>and other</w:t>
      </w:r>
      <w:r w:rsidRPr="00831D88">
        <w:rPr>
          <w:spacing w:val="-4"/>
          <w:sz w:val="24"/>
        </w:rPr>
        <w:t xml:space="preserve"> </w:t>
      </w:r>
      <w:r w:rsidRPr="00831D88">
        <w:rPr>
          <w:sz w:val="24"/>
        </w:rPr>
        <w:t>engagement</w:t>
      </w:r>
      <w:r w:rsidRPr="00831D88">
        <w:rPr>
          <w:spacing w:val="-6"/>
          <w:sz w:val="24"/>
        </w:rPr>
        <w:t xml:space="preserve"> </w:t>
      </w:r>
      <w:r w:rsidRPr="00831D88">
        <w:rPr>
          <w:sz w:val="24"/>
        </w:rPr>
        <w:t>activities</w:t>
      </w:r>
      <w:r w:rsidRPr="00831D88">
        <w:rPr>
          <w:spacing w:val="-4"/>
          <w:sz w:val="24"/>
        </w:rPr>
        <w:t xml:space="preserve"> </w:t>
      </w:r>
      <w:r w:rsidRPr="00831D88">
        <w:rPr>
          <w:sz w:val="24"/>
        </w:rPr>
        <w:t>with</w:t>
      </w:r>
      <w:r w:rsidRPr="00831D88">
        <w:rPr>
          <w:spacing w:val="-6"/>
          <w:sz w:val="24"/>
        </w:rPr>
        <w:t xml:space="preserve"> </w:t>
      </w:r>
      <w:r w:rsidRPr="00831D88">
        <w:rPr>
          <w:sz w:val="24"/>
        </w:rPr>
        <w:t>children</w:t>
      </w:r>
      <w:r w:rsidRPr="00831D88">
        <w:rPr>
          <w:spacing w:val="-5"/>
          <w:sz w:val="24"/>
        </w:rPr>
        <w:t xml:space="preserve"> </w:t>
      </w:r>
      <w:r w:rsidRPr="00831D88">
        <w:rPr>
          <w:sz w:val="24"/>
        </w:rPr>
        <w:t>and</w:t>
      </w:r>
      <w:r w:rsidRPr="00831D88">
        <w:rPr>
          <w:spacing w:val="-5"/>
          <w:sz w:val="24"/>
        </w:rPr>
        <w:t xml:space="preserve"> </w:t>
      </w:r>
      <w:r w:rsidRPr="00831D88">
        <w:rPr>
          <w:sz w:val="24"/>
        </w:rPr>
        <w:t>young</w:t>
      </w:r>
      <w:r w:rsidRPr="00831D88">
        <w:rPr>
          <w:spacing w:val="-5"/>
          <w:sz w:val="24"/>
        </w:rPr>
        <w:t xml:space="preserve"> </w:t>
      </w:r>
      <w:r w:rsidRPr="00831D88">
        <w:rPr>
          <w:sz w:val="24"/>
        </w:rPr>
        <w:t>people.</w:t>
      </w:r>
      <w:r w:rsidRPr="00831D88">
        <w:rPr>
          <w:spacing w:val="-5"/>
          <w:sz w:val="24"/>
        </w:rPr>
        <w:t xml:space="preserve"> </w:t>
      </w:r>
      <w:r w:rsidRPr="00831D88">
        <w:rPr>
          <w:sz w:val="24"/>
        </w:rPr>
        <w:t>This</w:t>
      </w:r>
      <w:r w:rsidRPr="00831D88">
        <w:rPr>
          <w:spacing w:val="-4"/>
          <w:sz w:val="24"/>
        </w:rPr>
        <w:t xml:space="preserve"> </w:t>
      </w:r>
      <w:r w:rsidRPr="00831D88">
        <w:rPr>
          <w:sz w:val="24"/>
        </w:rPr>
        <w:t>includes</w:t>
      </w:r>
      <w:r w:rsidRPr="00831D88">
        <w:rPr>
          <w:spacing w:val="-6"/>
          <w:sz w:val="24"/>
        </w:rPr>
        <w:t xml:space="preserve"> </w:t>
      </w:r>
      <w:r w:rsidRPr="00831D88">
        <w:rPr>
          <w:sz w:val="24"/>
        </w:rPr>
        <w:t>collation</w:t>
      </w:r>
      <w:r w:rsidRPr="00831D88">
        <w:rPr>
          <w:spacing w:val="-5"/>
          <w:sz w:val="24"/>
        </w:rPr>
        <w:t xml:space="preserve"> </w:t>
      </w:r>
      <w:r w:rsidRPr="00831D88">
        <w:rPr>
          <w:sz w:val="24"/>
        </w:rPr>
        <w:t>and analysis of consultation material to inform and support the Commissioner’s role to advocate for the wellbeing and rights of children and young people across Tasmania.</w:t>
      </w:r>
    </w:p>
    <w:p w14:paraId="47E4A8E0" w14:textId="77777777" w:rsidR="003044A3" w:rsidRPr="00831D88" w:rsidRDefault="003044A3" w:rsidP="003044A3">
      <w:pPr>
        <w:pStyle w:val="ListParagraph"/>
        <w:widowControl w:val="0"/>
        <w:numPr>
          <w:ilvl w:val="0"/>
          <w:numId w:val="32"/>
        </w:numPr>
        <w:tabs>
          <w:tab w:val="clear" w:pos="227"/>
          <w:tab w:val="clear" w:pos="454"/>
          <w:tab w:val="clear" w:pos="680"/>
          <w:tab w:val="clear" w:pos="907"/>
          <w:tab w:val="clear" w:pos="1134"/>
          <w:tab w:val="clear" w:pos="1361"/>
        </w:tabs>
        <w:autoSpaceDE w:val="0"/>
        <w:autoSpaceDN w:val="0"/>
        <w:spacing w:before="137" w:after="0" w:line="259" w:lineRule="auto"/>
        <w:ind w:right="84"/>
        <w:contextualSpacing w:val="0"/>
        <w:jc w:val="both"/>
        <w:rPr>
          <w:sz w:val="24"/>
        </w:rPr>
      </w:pPr>
      <w:r w:rsidRPr="00831D88">
        <w:rPr>
          <w:sz w:val="24"/>
        </w:rPr>
        <w:t>Monitor and review policies, practices and services impacting on children and young people in Tasmania, undertake complex research and investigations, and provide high level specialist advice and recommendations on</w:t>
      </w:r>
      <w:r w:rsidRPr="00831D88">
        <w:rPr>
          <w:spacing w:val="-1"/>
          <w:sz w:val="24"/>
        </w:rPr>
        <w:t xml:space="preserve"> </w:t>
      </w:r>
      <w:r w:rsidRPr="00831D88">
        <w:rPr>
          <w:sz w:val="24"/>
        </w:rPr>
        <w:t>matters relating to children and young people, and current and future policy and practice.</w:t>
      </w:r>
    </w:p>
    <w:p w14:paraId="2A2F85A6" w14:textId="77777777" w:rsidR="003044A3" w:rsidRPr="003F5ACE" w:rsidRDefault="003044A3" w:rsidP="003044A3">
      <w:pPr>
        <w:pStyle w:val="ListParagraph"/>
        <w:numPr>
          <w:ilvl w:val="0"/>
          <w:numId w:val="32"/>
        </w:numPr>
        <w:tabs>
          <w:tab w:val="clear" w:pos="227"/>
          <w:tab w:val="clear" w:pos="454"/>
          <w:tab w:val="clear" w:pos="680"/>
          <w:tab w:val="clear" w:pos="907"/>
          <w:tab w:val="clear" w:pos="1134"/>
          <w:tab w:val="clear" w:pos="1361"/>
        </w:tabs>
        <w:spacing w:before="120" w:line="240" w:lineRule="auto"/>
        <w:ind w:right="84"/>
        <w:contextualSpacing w:val="0"/>
        <w:jc w:val="both"/>
      </w:pPr>
      <w:r w:rsidRPr="00831D88">
        <w:rPr>
          <w:sz w:val="24"/>
        </w:rPr>
        <w:t>Develop and maintain effective collaborative relationships with representatives of the community, private enterprise, relevant community groups, peak bodies and service providers, including State, Commonwealth and non-government organisations, and engage and liaise with key stakeholders, including children, young people and their families, carers and educators</w:t>
      </w:r>
      <w:r w:rsidRPr="00831D88">
        <w:rPr>
          <w:rFonts w:eastAsia="Times New Roman"/>
          <w:color w:val="ED7D31"/>
          <w:sz w:val="24"/>
          <w:szCs w:val="20"/>
        </w:rPr>
        <w:t>.</w:t>
      </w:r>
    </w:p>
    <w:p w14:paraId="7C26F6D6" w14:textId="77777777" w:rsidR="003044A3" w:rsidRPr="00831D88" w:rsidRDefault="003044A3" w:rsidP="003044A3">
      <w:pPr>
        <w:pStyle w:val="ListParagraph"/>
        <w:widowControl w:val="0"/>
        <w:numPr>
          <w:ilvl w:val="0"/>
          <w:numId w:val="32"/>
        </w:numPr>
        <w:tabs>
          <w:tab w:val="clear" w:pos="227"/>
          <w:tab w:val="clear" w:pos="454"/>
          <w:tab w:val="clear" w:pos="680"/>
          <w:tab w:val="clear" w:pos="907"/>
          <w:tab w:val="clear" w:pos="1134"/>
          <w:tab w:val="clear" w:pos="1361"/>
        </w:tabs>
        <w:autoSpaceDE w:val="0"/>
        <w:autoSpaceDN w:val="0"/>
        <w:spacing w:before="100" w:after="0" w:line="259" w:lineRule="auto"/>
        <w:ind w:right="84"/>
        <w:contextualSpacing w:val="0"/>
        <w:jc w:val="both"/>
        <w:rPr>
          <w:sz w:val="24"/>
        </w:rPr>
      </w:pPr>
      <w:r w:rsidRPr="00831D88">
        <w:rPr>
          <w:sz w:val="24"/>
        </w:rPr>
        <w:t>Contribute to the development of high-quality publications, resources and other initiatives with respect to the wellbeing of children and young people, with a significant degree of independence and autonomy.</w:t>
      </w:r>
    </w:p>
    <w:p w14:paraId="7DD85F28" w14:textId="77777777" w:rsidR="003044A3" w:rsidRPr="00831D88" w:rsidRDefault="003044A3" w:rsidP="003044A3">
      <w:pPr>
        <w:pStyle w:val="ListParagraph"/>
        <w:widowControl w:val="0"/>
        <w:numPr>
          <w:ilvl w:val="0"/>
          <w:numId w:val="32"/>
        </w:numPr>
        <w:tabs>
          <w:tab w:val="clear" w:pos="227"/>
          <w:tab w:val="clear" w:pos="454"/>
          <w:tab w:val="clear" w:pos="680"/>
          <w:tab w:val="clear" w:pos="907"/>
          <w:tab w:val="clear" w:pos="1134"/>
          <w:tab w:val="clear" w:pos="1361"/>
        </w:tabs>
        <w:autoSpaceDE w:val="0"/>
        <w:autoSpaceDN w:val="0"/>
        <w:spacing w:before="138" w:after="0" w:line="259" w:lineRule="auto"/>
        <w:ind w:right="84"/>
        <w:contextualSpacing w:val="0"/>
        <w:jc w:val="both"/>
        <w:rPr>
          <w:sz w:val="24"/>
        </w:rPr>
      </w:pPr>
      <w:r w:rsidRPr="00831D88">
        <w:rPr>
          <w:sz w:val="24"/>
        </w:rPr>
        <w:t>Undertake high level research on complex matters for the preparation of correspondence, briefings, media releases and speech notes for the Commissioner for Children and Young People.</w:t>
      </w:r>
    </w:p>
    <w:p w14:paraId="70C785A1" w14:textId="77777777" w:rsidR="003044A3" w:rsidRPr="00831D88" w:rsidRDefault="003044A3" w:rsidP="003044A3">
      <w:pPr>
        <w:pStyle w:val="ListParagraph"/>
        <w:widowControl w:val="0"/>
        <w:numPr>
          <w:ilvl w:val="0"/>
          <w:numId w:val="32"/>
        </w:numPr>
        <w:tabs>
          <w:tab w:val="clear" w:pos="227"/>
          <w:tab w:val="clear" w:pos="454"/>
          <w:tab w:val="clear" w:pos="680"/>
          <w:tab w:val="clear" w:pos="907"/>
          <w:tab w:val="clear" w:pos="1134"/>
          <w:tab w:val="clear" w:pos="1361"/>
        </w:tabs>
        <w:autoSpaceDE w:val="0"/>
        <w:autoSpaceDN w:val="0"/>
        <w:spacing w:before="140" w:after="0" w:line="259" w:lineRule="auto"/>
        <w:ind w:right="84"/>
        <w:contextualSpacing w:val="0"/>
        <w:jc w:val="both"/>
        <w:rPr>
          <w:sz w:val="24"/>
        </w:rPr>
      </w:pPr>
      <w:r w:rsidRPr="00831D88">
        <w:rPr>
          <w:sz w:val="24"/>
        </w:rPr>
        <w:t>Contribute to projects and monitor and report on current policy and practice that impact children and young people.</w:t>
      </w:r>
    </w:p>
    <w:p w14:paraId="315E5452" w14:textId="77777777" w:rsidR="003044A3" w:rsidRPr="00831D88" w:rsidRDefault="003044A3" w:rsidP="003044A3">
      <w:pPr>
        <w:pStyle w:val="ListParagraph"/>
        <w:widowControl w:val="0"/>
        <w:numPr>
          <w:ilvl w:val="0"/>
          <w:numId w:val="32"/>
        </w:numPr>
        <w:tabs>
          <w:tab w:val="clear" w:pos="227"/>
          <w:tab w:val="clear" w:pos="454"/>
          <w:tab w:val="clear" w:pos="680"/>
          <w:tab w:val="clear" w:pos="907"/>
          <w:tab w:val="clear" w:pos="1134"/>
          <w:tab w:val="clear" w:pos="1361"/>
        </w:tabs>
        <w:autoSpaceDE w:val="0"/>
        <w:autoSpaceDN w:val="0"/>
        <w:spacing w:before="138" w:line="259" w:lineRule="auto"/>
        <w:ind w:left="714" w:right="85" w:hanging="357"/>
        <w:contextualSpacing w:val="0"/>
        <w:jc w:val="both"/>
        <w:rPr>
          <w:sz w:val="24"/>
        </w:rPr>
      </w:pPr>
      <w:r w:rsidRPr="00831D88">
        <w:rPr>
          <w:sz w:val="24"/>
        </w:rPr>
        <w:t>Ensure</w:t>
      </w:r>
      <w:r w:rsidRPr="00831D88">
        <w:rPr>
          <w:spacing w:val="-15"/>
          <w:sz w:val="24"/>
        </w:rPr>
        <w:t xml:space="preserve"> </w:t>
      </w:r>
      <w:r w:rsidRPr="00831D88">
        <w:rPr>
          <w:sz w:val="24"/>
        </w:rPr>
        <w:t>the</w:t>
      </w:r>
      <w:r w:rsidRPr="00831D88">
        <w:rPr>
          <w:spacing w:val="-17"/>
          <w:sz w:val="24"/>
        </w:rPr>
        <w:t xml:space="preserve"> </w:t>
      </w:r>
      <w:r w:rsidRPr="00831D88">
        <w:rPr>
          <w:sz w:val="24"/>
        </w:rPr>
        <w:t>safety</w:t>
      </w:r>
      <w:r w:rsidRPr="00831D88">
        <w:rPr>
          <w:spacing w:val="-17"/>
          <w:sz w:val="24"/>
        </w:rPr>
        <w:t xml:space="preserve"> </w:t>
      </w:r>
      <w:r w:rsidRPr="00831D88">
        <w:rPr>
          <w:sz w:val="24"/>
        </w:rPr>
        <w:t>and</w:t>
      </w:r>
      <w:r w:rsidRPr="00831D88">
        <w:rPr>
          <w:spacing w:val="-13"/>
          <w:sz w:val="24"/>
        </w:rPr>
        <w:t xml:space="preserve"> </w:t>
      </w:r>
      <w:r w:rsidRPr="00831D88">
        <w:rPr>
          <w:sz w:val="24"/>
        </w:rPr>
        <w:t>wellbeing</w:t>
      </w:r>
      <w:r w:rsidRPr="00831D88">
        <w:rPr>
          <w:spacing w:val="-14"/>
          <w:sz w:val="24"/>
        </w:rPr>
        <w:t xml:space="preserve"> </w:t>
      </w:r>
      <w:r w:rsidRPr="00831D88">
        <w:rPr>
          <w:sz w:val="24"/>
        </w:rPr>
        <w:t>of</w:t>
      </w:r>
      <w:r w:rsidRPr="00831D88">
        <w:rPr>
          <w:spacing w:val="-15"/>
          <w:sz w:val="24"/>
        </w:rPr>
        <w:t xml:space="preserve"> </w:t>
      </w:r>
      <w:r w:rsidRPr="00831D88">
        <w:rPr>
          <w:sz w:val="24"/>
        </w:rPr>
        <w:t>vulnerable</w:t>
      </w:r>
      <w:r w:rsidRPr="00831D88">
        <w:rPr>
          <w:spacing w:val="-15"/>
          <w:sz w:val="24"/>
        </w:rPr>
        <w:t xml:space="preserve"> </w:t>
      </w:r>
      <w:r w:rsidRPr="00831D88">
        <w:rPr>
          <w:sz w:val="24"/>
        </w:rPr>
        <w:t>people</w:t>
      </w:r>
      <w:r w:rsidRPr="00831D88">
        <w:rPr>
          <w:spacing w:val="-15"/>
          <w:sz w:val="24"/>
        </w:rPr>
        <w:t xml:space="preserve"> </w:t>
      </w:r>
      <w:r w:rsidRPr="00831D88">
        <w:rPr>
          <w:sz w:val="24"/>
        </w:rPr>
        <w:t>you</w:t>
      </w:r>
      <w:r w:rsidRPr="00831D88">
        <w:rPr>
          <w:spacing w:val="-15"/>
          <w:sz w:val="24"/>
        </w:rPr>
        <w:t xml:space="preserve"> </w:t>
      </w:r>
      <w:r w:rsidRPr="00831D88">
        <w:rPr>
          <w:sz w:val="24"/>
        </w:rPr>
        <w:t>may</w:t>
      </w:r>
      <w:r w:rsidRPr="00831D88">
        <w:rPr>
          <w:spacing w:val="-14"/>
          <w:sz w:val="24"/>
        </w:rPr>
        <w:t xml:space="preserve"> </w:t>
      </w:r>
      <w:r w:rsidRPr="00831D88">
        <w:rPr>
          <w:sz w:val="24"/>
        </w:rPr>
        <w:t>be</w:t>
      </w:r>
      <w:r w:rsidRPr="00831D88">
        <w:rPr>
          <w:spacing w:val="-15"/>
          <w:sz w:val="24"/>
        </w:rPr>
        <w:t xml:space="preserve"> </w:t>
      </w:r>
      <w:r w:rsidRPr="00831D88">
        <w:rPr>
          <w:sz w:val="24"/>
        </w:rPr>
        <w:t>working</w:t>
      </w:r>
      <w:r w:rsidRPr="00831D88">
        <w:rPr>
          <w:spacing w:val="-14"/>
          <w:sz w:val="24"/>
        </w:rPr>
        <w:t xml:space="preserve"> </w:t>
      </w:r>
      <w:r w:rsidRPr="00831D88">
        <w:rPr>
          <w:sz w:val="24"/>
        </w:rPr>
        <w:t>with</w:t>
      </w:r>
      <w:r w:rsidRPr="00831D88">
        <w:rPr>
          <w:spacing w:val="-16"/>
          <w:sz w:val="24"/>
        </w:rPr>
        <w:t xml:space="preserve"> </w:t>
      </w:r>
      <w:r w:rsidRPr="00831D88">
        <w:rPr>
          <w:sz w:val="24"/>
        </w:rPr>
        <w:t>(including children and young people) and immediately report any concerns, disclosures, allegations</w:t>
      </w:r>
      <w:r w:rsidRPr="00831D88">
        <w:rPr>
          <w:spacing w:val="-11"/>
          <w:sz w:val="24"/>
        </w:rPr>
        <w:t xml:space="preserve"> </w:t>
      </w:r>
      <w:r w:rsidRPr="00831D88">
        <w:rPr>
          <w:sz w:val="24"/>
        </w:rPr>
        <w:t>or</w:t>
      </w:r>
      <w:r w:rsidRPr="00831D88">
        <w:rPr>
          <w:spacing w:val="-12"/>
          <w:sz w:val="24"/>
        </w:rPr>
        <w:t xml:space="preserve"> </w:t>
      </w:r>
      <w:r w:rsidRPr="00831D88">
        <w:rPr>
          <w:sz w:val="24"/>
        </w:rPr>
        <w:t>suspicions</w:t>
      </w:r>
      <w:r w:rsidRPr="00831D88">
        <w:rPr>
          <w:spacing w:val="-11"/>
          <w:sz w:val="24"/>
        </w:rPr>
        <w:t xml:space="preserve"> </w:t>
      </w:r>
      <w:r w:rsidRPr="00831D88">
        <w:rPr>
          <w:sz w:val="24"/>
        </w:rPr>
        <w:t>of</w:t>
      </w:r>
      <w:r w:rsidRPr="00831D88">
        <w:rPr>
          <w:spacing w:val="-12"/>
          <w:sz w:val="24"/>
        </w:rPr>
        <w:t xml:space="preserve"> </w:t>
      </w:r>
      <w:r w:rsidRPr="00831D88">
        <w:rPr>
          <w:sz w:val="24"/>
        </w:rPr>
        <w:t>harm.</w:t>
      </w:r>
      <w:r w:rsidRPr="00831D88">
        <w:rPr>
          <w:spacing w:val="-12"/>
          <w:sz w:val="24"/>
        </w:rPr>
        <w:t xml:space="preserve"> </w:t>
      </w:r>
      <w:r w:rsidRPr="00831D88">
        <w:rPr>
          <w:sz w:val="24"/>
        </w:rPr>
        <w:t>Actively</w:t>
      </w:r>
      <w:r w:rsidRPr="00831D88">
        <w:rPr>
          <w:spacing w:val="-11"/>
          <w:sz w:val="24"/>
        </w:rPr>
        <w:t xml:space="preserve"> </w:t>
      </w:r>
      <w:r w:rsidRPr="00831D88">
        <w:rPr>
          <w:sz w:val="24"/>
        </w:rPr>
        <w:t>participate</w:t>
      </w:r>
      <w:r w:rsidRPr="00831D88">
        <w:rPr>
          <w:spacing w:val="-12"/>
          <w:sz w:val="24"/>
        </w:rPr>
        <w:t xml:space="preserve"> </w:t>
      </w:r>
      <w:r w:rsidRPr="00831D88">
        <w:rPr>
          <w:sz w:val="24"/>
        </w:rPr>
        <w:t>in</w:t>
      </w:r>
      <w:r w:rsidRPr="00831D88">
        <w:rPr>
          <w:spacing w:val="-11"/>
          <w:sz w:val="24"/>
        </w:rPr>
        <w:t xml:space="preserve"> </w:t>
      </w:r>
      <w:r w:rsidRPr="00831D88">
        <w:rPr>
          <w:sz w:val="24"/>
        </w:rPr>
        <w:t>and</w:t>
      </w:r>
      <w:r w:rsidRPr="00831D88">
        <w:rPr>
          <w:spacing w:val="-12"/>
          <w:sz w:val="24"/>
        </w:rPr>
        <w:t xml:space="preserve"> </w:t>
      </w:r>
      <w:r w:rsidRPr="00831D88">
        <w:rPr>
          <w:sz w:val="24"/>
        </w:rPr>
        <w:t>contribute</w:t>
      </w:r>
      <w:r w:rsidRPr="00831D88">
        <w:rPr>
          <w:spacing w:val="-12"/>
          <w:sz w:val="24"/>
        </w:rPr>
        <w:t xml:space="preserve"> </w:t>
      </w:r>
      <w:r w:rsidRPr="00831D88">
        <w:rPr>
          <w:sz w:val="24"/>
        </w:rPr>
        <w:t>to</w:t>
      </w:r>
      <w:r w:rsidRPr="00831D88">
        <w:rPr>
          <w:spacing w:val="-11"/>
          <w:sz w:val="24"/>
        </w:rPr>
        <w:t xml:space="preserve"> </w:t>
      </w:r>
      <w:r w:rsidRPr="00831D88">
        <w:rPr>
          <w:sz w:val="24"/>
        </w:rPr>
        <w:t>practices</w:t>
      </w:r>
      <w:r w:rsidRPr="00831D88">
        <w:rPr>
          <w:spacing w:val="-11"/>
          <w:sz w:val="24"/>
        </w:rPr>
        <w:t xml:space="preserve"> </w:t>
      </w:r>
      <w:r w:rsidRPr="00831D88">
        <w:rPr>
          <w:sz w:val="24"/>
        </w:rPr>
        <w:t>that will ensure Communities Tasmania is a child safe organisation including reporting, record keeping and information sharing obligations.</w:t>
      </w:r>
    </w:p>
    <w:p w14:paraId="0AD597BF" w14:textId="77777777" w:rsidR="003044A3" w:rsidRPr="00831D88" w:rsidRDefault="003044A3" w:rsidP="003044A3">
      <w:pPr>
        <w:pStyle w:val="ListParagraph"/>
        <w:widowControl w:val="0"/>
        <w:numPr>
          <w:ilvl w:val="0"/>
          <w:numId w:val="32"/>
        </w:numPr>
        <w:tabs>
          <w:tab w:val="clear" w:pos="227"/>
          <w:tab w:val="clear" w:pos="454"/>
          <w:tab w:val="clear" w:pos="680"/>
          <w:tab w:val="clear" w:pos="907"/>
          <w:tab w:val="clear" w:pos="1134"/>
          <w:tab w:val="clear" w:pos="1361"/>
        </w:tabs>
        <w:autoSpaceDE w:val="0"/>
        <w:autoSpaceDN w:val="0"/>
        <w:spacing w:before="138" w:after="0" w:line="259" w:lineRule="auto"/>
        <w:ind w:right="84"/>
        <w:contextualSpacing w:val="0"/>
        <w:jc w:val="both"/>
        <w:rPr>
          <w:sz w:val="24"/>
        </w:rPr>
      </w:pPr>
      <w:r w:rsidRPr="00831D88">
        <w:rPr>
          <w:sz w:val="24"/>
        </w:rPr>
        <w:t>Actively participate in and contribute to the organisation’s Quality &amp; Safety and Work Health &amp; Safety processes, including the development and implementation of safety systems, improvement initiatives and related training, ensuring that quality and safety improvement processes are in place and acted upon.</w:t>
      </w:r>
      <w:r w:rsidRPr="00831D88">
        <w:rPr>
          <w:sz w:val="24"/>
          <w:szCs w:val="24"/>
        </w:rPr>
        <w:t xml:space="preserve"> </w:t>
      </w:r>
    </w:p>
    <w:p w14:paraId="6AA19919" w14:textId="57B40955" w:rsidR="00D2771F" w:rsidRPr="00B732A4" w:rsidRDefault="003044A3"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sz w:val="24"/>
          <w:szCs w:val="24"/>
        </w:rPr>
        <w:lastRenderedPageBreak/>
        <w:t xml:space="preserve"> </w:t>
      </w:r>
      <w:r w:rsidR="00D2771F"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547B3FD4" w14:textId="25A8CC58" w:rsidR="00D2771F" w:rsidRPr="003A0A35" w:rsidRDefault="003044A3"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 </w:t>
      </w:r>
      <w:r w:rsidR="00D2771F">
        <w:rPr>
          <w:rFonts w:eastAsia="Times New Roman"/>
          <w:sz w:val="24"/>
          <w:szCs w:val="20"/>
        </w:rPr>
        <w:t xml:space="preserve">In accordance with the </w:t>
      </w:r>
      <w:r w:rsidR="00D2771F" w:rsidRPr="004B6022">
        <w:rPr>
          <w:rFonts w:eastAsia="Times New Roman"/>
          <w:i/>
          <w:iCs/>
          <w:sz w:val="24"/>
          <w:szCs w:val="20"/>
        </w:rPr>
        <w:t>Work Health and Safety Act 2012</w:t>
      </w:r>
      <w:r w:rsidR="00D2771F">
        <w:rPr>
          <w:rFonts w:eastAsia="Times New Roman"/>
          <w:i/>
          <w:iCs/>
          <w:sz w:val="24"/>
          <w:szCs w:val="20"/>
        </w:rPr>
        <w:t xml:space="preserve"> </w:t>
      </w:r>
      <w:r w:rsidR="00D2771F">
        <w:rPr>
          <w:rFonts w:eastAsia="Times New Roman"/>
          <w:sz w:val="24"/>
          <w:szCs w:val="20"/>
        </w:rPr>
        <w:t>the incumbent will a</w:t>
      </w:r>
      <w:r w:rsidR="00D2771F" w:rsidRPr="004B6022">
        <w:rPr>
          <w:rFonts w:eastAsia="Times New Roman"/>
          <w:sz w:val="24"/>
          <w:szCs w:val="20"/>
        </w:rPr>
        <w:t>ctively participate</w:t>
      </w:r>
      <w:r w:rsidR="00D2771F">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00D2771F" w:rsidRPr="009E7E2F">
        <w:rPr>
          <w:rFonts w:eastAsia="Times New Roman"/>
          <w:sz w:val="24"/>
          <w:szCs w:val="20"/>
        </w:rPr>
        <w:t xml:space="preserve"> </w:t>
      </w:r>
    </w:p>
    <w:p w14:paraId="174C8980" w14:textId="77777777" w:rsidR="009D6E8A" w:rsidRPr="00190B67" w:rsidRDefault="009D6E8A" w:rsidP="00697DE2">
      <w:pPr>
        <w:pStyle w:val="Heading2"/>
        <w:rPr>
          <w:color w:val="011947"/>
        </w:rPr>
      </w:pPr>
      <w:r w:rsidRPr="00190B67">
        <w:rPr>
          <w:color w:val="011947"/>
        </w:rPr>
        <w:t>Selection Criteria</w:t>
      </w:r>
    </w:p>
    <w:p w14:paraId="6E43B309"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63861AC"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078BDBDD" wp14:editId="1B7E5A65">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4D96B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EC9C6B4" w14:textId="77777777" w:rsidR="003044A3" w:rsidRDefault="003044A3" w:rsidP="003044A3">
      <w:pPr>
        <w:pStyle w:val="ListParagraph"/>
        <w:widowControl w:val="0"/>
        <w:numPr>
          <w:ilvl w:val="0"/>
          <w:numId w:val="33"/>
        </w:numPr>
        <w:tabs>
          <w:tab w:val="clear" w:pos="227"/>
          <w:tab w:val="clear" w:pos="454"/>
          <w:tab w:val="clear" w:pos="680"/>
          <w:tab w:val="clear" w:pos="907"/>
          <w:tab w:val="clear" w:pos="1134"/>
          <w:tab w:val="clear" w:pos="1361"/>
          <w:tab w:val="left" w:pos="683"/>
          <w:tab w:val="left" w:pos="686"/>
        </w:tabs>
        <w:autoSpaceDE w:val="0"/>
        <w:autoSpaceDN w:val="0"/>
        <w:spacing w:before="163" w:after="0" w:line="259" w:lineRule="auto"/>
        <w:ind w:right="84"/>
        <w:contextualSpacing w:val="0"/>
        <w:jc w:val="both"/>
        <w:rPr>
          <w:sz w:val="24"/>
        </w:rPr>
      </w:pPr>
      <w:r>
        <w:rPr>
          <w:sz w:val="24"/>
        </w:rPr>
        <w:t>Demonstrated</w:t>
      </w:r>
      <w:r>
        <w:rPr>
          <w:spacing w:val="-17"/>
          <w:sz w:val="24"/>
        </w:rPr>
        <w:t xml:space="preserve"> </w:t>
      </w:r>
      <w:r>
        <w:rPr>
          <w:sz w:val="24"/>
        </w:rPr>
        <w:t>knowledge</w:t>
      </w:r>
      <w:r>
        <w:rPr>
          <w:spacing w:val="-17"/>
          <w:sz w:val="24"/>
        </w:rPr>
        <w:t xml:space="preserve"> </w:t>
      </w:r>
      <w:r>
        <w:rPr>
          <w:sz w:val="24"/>
        </w:rPr>
        <w:t>of</w:t>
      </w:r>
      <w:r>
        <w:rPr>
          <w:spacing w:val="-16"/>
          <w:sz w:val="24"/>
        </w:rPr>
        <w:t xml:space="preserve"> </w:t>
      </w:r>
      <w:r>
        <w:rPr>
          <w:sz w:val="24"/>
        </w:rPr>
        <w:t>State</w:t>
      </w:r>
      <w:r>
        <w:rPr>
          <w:spacing w:val="-16"/>
          <w:sz w:val="24"/>
        </w:rPr>
        <w:t xml:space="preserve"> </w:t>
      </w:r>
      <w:r>
        <w:rPr>
          <w:sz w:val="24"/>
        </w:rPr>
        <w:t>and</w:t>
      </w:r>
      <w:r>
        <w:rPr>
          <w:spacing w:val="-17"/>
          <w:sz w:val="24"/>
        </w:rPr>
        <w:t xml:space="preserve"> </w:t>
      </w:r>
      <w:r>
        <w:rPr>
          <w:sz w:val="24"/>
        </w:rPr>
        <w:t>Federal</w:t>
      </w:r>
      <w:r>
        <w:rPr>
          <w:spacing w:val="-16"/>
          <w:sz w:val="24"/>
        </w:rPr>
        <w:t xml:space="preserve"> </w:t>
      </w:r>
      <w:r>
        <w:rPr>
          <w:sz w:val="24"/>
        </w:rPr>
        <w:t>legislation</w:t>
      </w:r>
      <w:r>
        <w:rPr>
          <w:spacing w:val="-16"/>
          <w:sz w:val="24"/>
        </w:rPr>
        <w:t xml:space="preserve"> </w:t>
      </w:r>
      <w:r>
        <w:rPr>
          <w:sz w:val="24"/>
        </w:rPr>
        <w:t>and</w:t>
      </w:r>
      <w:r>
        <w:rPr>
          <w:spacing w:val="-17"/>
          <w:sz w:val="24"/>
        </w:rPr>
        <w:t xml:space="preserve"> </w:t>
      </w:r>
      <w:r>
        <w:rPr>
          <w:sz w:val="24"/>
        </w:rPr>
        <w:t>International</w:t>
      </w:r>
      <w:r>
        <w:rPr>
          <w:spacing w:val="-16"/>
          <w:sz w:val="24"/>
        </w:rPr>
        <w:t xml:space="preserve"> </w:t>
      </w:r>
      <w:r>
        <w:rPr>
          <w:sz w:val="24"/>
        </w:rPr>
        <w:t>Conventions as they pertain to children and young people including a commitment to, and knowledge of, the rights of children, young people and their families, advocacy practices and the principles of empowerment.</w:t>
      </w:r>
    </w:p>
    <w:p w14:paraId="3DD8ADE6" w14:textId="77777777" w:rsidR="003044A3" w:rsidRPr="00CA0D2D" w:rsidRDefault="003044A3" w:rsidP="003044A3">
      <w:pPr>
        <w:pStyle w:val="ListParagraph"/>
        <w:widowControl w:val="0"/>
        <w:numPr>
          <w:ilvl w:val="0"/>
          <w:numId w:val="33"/>
        </w:numPr>
        <w:tabs>
          <w:tab w:val="clear" w:pos="227"/>
          <w:tab w:val="clear" w:pos="454"/>
          <w:tab w:val="clear" w:pos="680"/>
          <w:tab w:val="clear" w:pos="907"/>
          <w:tab w:val="clear" w:pos="1134"/>
          <w:tab w:val="clear" w:pos="1361"/>
          <w:tab w:val="left" w:pos="683"/>
          <w:tab w:val="left" w:pos="686"/>
        </w:tabs>
        <w:autoSpaceDE w:val="0"/>
        <w:autoSpaceDN w:val="0"/>
        <w:spacing w:before="137" w:after="0" w:line="259" w:lineRule="auto"/>
        <w:ind w:right="84"/>
        <w:contextualSpacing w:val="0"/>
        <w:jc w:val="both"/>
        <w:rPr>
          <w:sz w:val="24"/>
        </w:rPr>
      </w:pPr>
      <w:r>
        <w:rPr>
          <w:sz w:val="24"/>
        </w:rPr>
        <w:t>High level written, oral and interpersonal communication skills, in particular the ability to</w:t>
      </w:r>
      <w:r>
        <w:rPr>
          <w:spacing w:val="-14"/>
          <w:sz w:val="24"/>
        </w:rPr>
        <w:t xml:space="preserve"> </w:t>
      </w:r>
      <w:r>
        <w:rPr>
          <w:sz w:val="24"/>
        </w:rPr>
        <w:t>engage</w:t>
      </w:r>
      <w:r>
        <w:rPr>
          <w:spacing w:val="-14"/>
          <w:sz w:val="24"/>
        </w:rPr>
        <w:t xml:space="preserve"> </w:t>
      </w:r>
      <w:r>
        <w:rPr>
          <w:sz w:val="24"/>
        </w:rPr>
        <w:t>and</w:t>
      </w:r>
      <w:r>
        <w:rPr>
          <w:spacing w:val="-14"/>
          <w:sz w:val="24"/>
        </w:rPr>
        <w:t xml:space="preserve"> </w:t>
      </w:r>
      <w:r>
        <w:rPr>
          <w:sz w:val="24"/>
        </w:rPr>
        <w:t>negotiate</w:t>
      </w:r>
      <w:r>
        <w:rPr>
          <w:spacing w:val="-14"/>
          <w:sz w:val="24"/>
        </w:rPr>
        <w:t xml:space="preserve"> </w:t>
      </w:r>
      <w:r>
        <w:rPr>
          <w:sz w:val="24"/>
        </w:rPr>
        <w:t>effectively</w:t>
      </w:r>
      <w:r>
        <w:rPr>
          <w:spacing w:val="-12"/>
          <w:sz w:val="24"/>
        </w:rPr>
        <w:t xml:space="preserve"> </w:t>
      </w:r>
      <w:r>
        <w:rPr>
          <w:sz w:val="24"/>
        </w:rPr>
        <w:t>with</w:t>
      </w:r>
      <w:r>
        <w:rPr>
          <w:spacing w:val="-14"/>
          <w:sz w:val="24"/>
        </w:rPr>
        <w:t xml:space="preserve"> </w:t>
      </w:r>
      <w:r>
        <w:rPr>
          <w:sz w:val="24"/>
        </w:rPr>
        <w:t>a</w:t>
      </w:r>
      <w:r>
        <w:rPr>
          <w:spacing w:val="-14"/>
          <w:sz w:val="24"/>
        </w:rPr>
        <w:t xml:space="preserve"> </w:t>
      </w:r>
      <w:r>
        <w:rPr>
          <w:sz w:val="24"/>
        </w:rPr>
        <w:t>wide</w:t>
      </w:r>
      <w:r>
        <w:rPr>
          <w:spacing w:val="-14"/>
          <w:sz w:val="24"/>
        </w:rPr>
        <w:t xml:space="preserve"> </w:t>
      </w:r>
      <w:r>
        <w:rPr>
          <w:sz w:val="24"/>
        </w:rPr>
        <w:t>range</w:t>
      </w:r>
      <w:r>
        <w:rPr>
          <w:spacing w:val="-12"/>
          <w:sz w:val="24"/>
        </w:rPr>
        <w:t xml:space="preserve"> </w:t>
      </w:r>
      <w:r>
        <w:rPr>
          <w:sz w:val="24"/>
        </w:rPr>
        <w:t>of</w:t>
      </w:r>
      <w:r>
        <w:rPr>
          <w:spacing w:val="-14"/>
          <w:sz w:val="24"/>
        </w:rPr>
        <w:t xml:space="preserve"> </w:t>
      </w:r>
      <w:r>
        <w:rPr>
          <w:sz w:val="24"/>
        </w:rPr>
        <w:t>stakeholders,</w:t>
      </w:r>
      <w:r>
        <w:rPr>
          <w:spacing w:val="-14"/>
          <w:sz w:val="24"/>
        </w:rPr>
        <w:t xml:space="preserve"> </w:t>
      </w:r>
      <w:r>
        <w:rPr>
          <w:sz w:val="24"/>
        </w:rPr>
        <w:t>including</w:t>
      </w:r>
      <w:r>
        <w:rPr>
          <w:spacing w:val="-12"/>
          <w:sz w:val="24"/>
        </w:rPr>
        <w:t xml:space="preserve"> </w:t>
      </w:r>
      <w:r>
        <w:rPr>
          <w:sz w:val="24"/>
        </w:rPr>
        <w:t>a</w:t>
      </w:r>
      <w:r>
        <w:rPr>
          <w:spacing w:val="-14"/>
          <w:sz w:val="24"/>
        </w:rPr>
        <w:t xml:space="preserve"> </w:t>
      </w:r>
      <w:r>
        <w:rPr>
          <w:sz w:val="24"/>
        </w:rPr>
        <w:t>diverse range</w:t>
      </w:r>
      <w:r>
        <w:rPr>
          <w:spacing w:val="-1"/>
          <w:sz w:val="24"/>
        </w:rPr>
        <w:t xml:space="preserve"> </w:t>
      </w:r>
      <w:r>
        <w:rPr>
          <w:sz w:val="24"/>
        </w:rPr>
        <w:t>of community and government representatives,</w:t>
      </w:r>
      <w:r>
        <w:rPr>
          <w:spacing w:val="-1"/>
          <w:sz w:val="24"/>
        </w:rPr>
        <w:t xml:space="preserve"> </w:t>
      </w:r>
      <w:r>
        <w:rPr>
          <w:sz w:val="24"/>
        </w:rPr>
        <w:t>children, young people and their families.</w:t>
      </w:r>
    </w:p>
    <w:p w14:paraId="3C942779" w14:textId="77777777" w:rsidR="003044A3" w:rsidRPr="00CA0D2D" w:rsidRDefault="003044A3" w:rsidP="003044A3">
      <w:pPr>
        <w:pStyle w:val="ListParagraph"/>
        <w:widowControl w:val="0"/>
        <w:numPr>
          <w:ilvl w:val="0"/>
          <w:numId w:val="33"/>
        </w:numPr>
        <w:tabs>
          <w:tab w:val="clear" w:pos="227"/>
          <w:tab w:val="clear" w:pos="454"/>
          <w:tab w:val="clear" w:pos="680"/>
          <w:tab w:val="clear" w:pos="907"/>
          <w:tab w:val="clear" w:pos="1134"/>
          <w:tab w:val="clear" w:pos="1361"/>
          <w:tab w:val="left" w:pos="683"/>
          <w:tab w:val="left" w:pos="686"/>
        </w:tabs>
        <w:autoSpaceDE w:val="0"/>
        <w:autoSpaceDN w:val="0"/>
        <w:spacing w:before="137" w:after="0" w:line="259" w:lineRule="auto"/>
        <w:ind w:right="84"/>
        <w:contextualSpacing w:val="0"/>
        <w:jc w:val="both"/>
        <w:rPr>
          <w:sz w:val="24"/>
        </w:rPr>
      </w:pPr>
      <w:r w:rsidRPr="006E1EBD">
        <w:rPr>
          <w:sz w:val="24"/>
        </w:rPr>
        <w:t>High level knowledge and experience in developing, implementing and reviewing engagement activities, particularly with children and young people and stakeholders of diverse abilities and needs.</w:t>
      </w:r>
    </w:p>
    <w:p w14:paraId="1ABB1B69" w14:textId="77777777" w:rsidR="003044A3" w:rsidRDefault="003044A3" w:rsidP="003044A3">
      <w:pPr>
        <w:pStyle w:val="ListParagraph"/>
        <w:widowControl w:val="0"/>
        <w:numPr>
          <w:ilvl w:val="0"/>
          <w:numId w:val="33"/>
        </w:numPr>
        <w:tabs>
          <w:tab w:val="clear" w:pos="227"/>
          <w:tab w:val="clear" w:pos="454"/>
          <w:tab w:val="clear" w:pos="680"/>
          <w:tab w:val="clear" w:pos="907"/>
          <w:tab w:val="clear" w:pos="1134"/>
          <w:tab w:val="clear" w:pos="1361"/>
          <w:tab w:val="left" w:pos="683"/>
          <w:tab w:val="left" w:pos="686"/>
        </w:tabs>
        <w:autoSpaceDE w:val="0"/>
        <w:autoSpaceDN w:val="0"/>
        <w:spacing w:before="137" w:after="0" w:line="259" w:lineRule="auto"/>
        <w:ind w:right="84"/>
        <w:contextualSpacing w:val="0"/>
        <w:jc w:val="both"/>
        <w:rPr>
          <w:sz w:val="24"/>
        </w:rPr>
      </w:pPr>
      <w:r>
        <w:rPr>
          <w:sz w:val="24"/>
        </w:rPr>
        <w:t>Demonstrated ability to work constructively as a member of a multidisciplinary team, including an ability</w:t>
      </w:r>
      <w:r>
        <w:rPr>
          <w:spacing w:val="-1"/>
          <w:sz w:val="24"/>
        </w:rPr>
        <w:t xml:space="preserve"> </w:t>
      </w:r>
      <w:r>
        <w:rPr>
          <w:sz w:val="24"/>
        </w:rPr>
        <w:t>to be adaptable and flexible, working within</w:t>
      </w:r>
      <w:r>
        <w:rPr>
          <w:spacing w:val="-1"/>
          <w:sz w:val="24"/>
        </w:rPr>
        <w:t xml:space="preserve"> </w:t>
      </w:r>
      <w:r>
        <w:rPr>
          <w:sz w:val="24"/>
        </w:rPr>
        <w:t>an environment subject to work pressure, competing priorities, ambiguity and change.</w:t>
      </w:r>
    </w:p>
    <w:p w14:paraId="17174571" w14:textId="77777777" w:rsidR="003044A3" w:rsidRDefault="003044A3" w:rsidP="003044A3">
      <w:pPr>
        <w:pStyle w:val="ListParagraph"/>
        <w:widowControl w:val="0"/>
        <w:numPr>
          <w:ilvl w:val="0"/>
          <w:numId w:val="33"/>
        </w:numPr>
        <w:tabs>
          <w:tab w:val="clear" w:pos="227"/>
          <w:tab w:val="clear" w:pos="454"/>
          <w:tab w:val="clear" w:pos="680"/>
          <w:tab w:val="clear" w:pos="907"/>
          <w:tab w:val="clear" w:pos="1134"/>
          <w:tab w:val="clear" w:pos="1361"/>
          <w:tab w:val="left" w:pos="683"/>
          <w:tab w:val="left" w:pos="686"/>
        </w:tabs>
        <w:autoSpaceDE w:val="0"/>
        <w:autoSpaceDN w:val="0"/>
        <w:spacing w:before="140" w:after="0" w:line="259" w:lineRule="auto"/>
        <w:ind w:right="84"/>
        <w:contextualSpacing w:val="0"/>
        <w:jc w:val="both"/>
        <w:rPr>
          <w:sz w:val="24"/>
        </w:rPr>
      </w:pPr>
      <w:r>
        <w:rPr>
          <w:sz w:val="24"/>
        </w:rPr>
        <w:t>Demonstrated ability to project manage, plan, organise and prioritise workloads, including the ability to</w:t>
      </w:r>
      <w:r>
        <w:rPr>
          <w:spacing w:val="-1"/>
          <w:sz w:val="24"/>
        </w:rPr>
        <w:t xml:space="preserve"> </w:t>
      </w:r>
      <w:r>
        <w:rPr>
          <w:sz w:val="24"/>
        </w:rPr>
        <w:t>work in a complex and busy work environment with</w:t>
      </w:r>
      <w:r>
        <w:rPr>
          <w:spacing w:val="-1"/>
          <w:sz w:val="24"/>
        </w:rPr>
        <w:t xml:space="preserve"> </w:t>
      </w:r>
      <w:r>
        <w:rPr>
          <w:sz w:val="24"/>
        </w:rPr>
        <w:t>short time frames.</w:t>
      </w:r>
    </w:p>
    <w:p w14:paraId="72CFBFAA" w14:textId="77777777" w:rsidR="003044A3" w:rsidRDefault="003044A3" w:rsidP="003044A3">
      <w:pPr>
        <w:pStyle w:val="ListParagraph"/>
        <w:widowControl w:val="0"/>
        <w:numPr>
          <w:ilvl w:val="0"/>
          <w:numId w:val="33"/>
        </w:numPr>
        <w:tabs>
          <w:tab w:val="clear" w:pos="227"/>
          <w:tab w:val="clear" w:pos="454"/>
          <w:tab w:val="clear" w:pos="680"/>
          <w:tab w:val="clear" w:pos="907"/>
          <w:tab w:val="clear" w:pos="1134"/>
          <w:tab w:val="clear" w:pos="1361"/>
          <w:tab w:val="left" w:pos="683"/>
          <w:tab w:val="left" w:pos="686"/>
        </w:tabs>
        <w:autoSpaceDE w:val="0"/>
        <w:autoSpaceDN w:val="0"/>
        <w:spacing w:before="138" w:after="0" w:line="259" w:lineRule="auto"/>
        <w:ind w:right="84"/>
        <w:contextualSpacing w:val="0"/>
        <w:jc w:val="both"/>
        <w:rPr>
          <w:sz w:val="24"/>
        </w:rPr>
      </w:pPr>
      <w:r>
        <w:rPr>
          <w:sz w:val="24"/>
        </w:rPr>
        <w:t>Demonstrated ability to manage highly confidential and sensitive materials and issues with discretion and credibility.</w:t>
      </w:r>
    </w:p>
    <w:p w14:paraId="4EA926E5" w14:textId="26F8BEC4" w:rsidR="00D2771F" w:rsidRPr="005C26ED" w:rsidRDefault="003044A3" w:rsidP="003044A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4654F2">
        <w:rPr>
          <w:sz w:val="24"/>
        </w:rPr>
        <w:t>Well-developed</w:t>
      </w:r>
      <w:r w:rsidRPr="004654F2">
        <w:rPr>
          <w:spacing w:val="-15"/>
          <w:sz w:val="24"/>
        </w:rPr>
        <w:t xml:space="preserve"> </w:t>
      </w:r>
      <w:r w:rsidRPr="004654F2">
        <w:rPr>
          <w:sz w:val="24"/>
        </w:rPr>
        <w:t>computer</w:t>
      </w:r>
      <w:r w:rsidRPr="004654F2">
        <w:rPr>
          <w:spacing w:val="-14"/>
          <w:sz w:val="24"/>
        </w:rPr>
        <w:t xml:space="preserve"> </w:t>
      </w:r>
      <w:r w:rsidRPr="004654F2">
        <w:rPr>
          <w:sz w:val="24"/>
        </w:rPr>
        <w:t>skills,</w:t>
      </w:r>
      <w:r w:rsidRPr="004654F2">
        <w:rPr>
          <w:spacing w:val="-15"/>
          <w:sz w:val="24"/>
        </w:rPr>
        <w:t xml:space="preserve"> </w:t>
      </w:r>
      <w:r w:rsidRPr="004654F2">
        <w:rPr>
          <w:sz w:val="24"/>
        </w:rPr>
        <w:t>including</w:t>
      </w:r>
      <w:r w:rsidRPr="004654F2">
        <w:rPr>
          <w:spacing w:val="-14"/>
          <w:sz w:val="24"/>
        </w:rPr>
        <w:t xml:space="preserve"> </w:t>
      </w:r>
      <w:r w:rsidRPr="004654F2">
        <w:rPr>
          <w:sz w:val="24"/>
        </w:rPr>
        <w:t>demonstrable</w:t>
      </w:r>
      <w:r w:rsidRPr="004654F2">
        <w:rPr>
          <w:spacing w:val="-14"/>
          <w:sz w:val="24"/>
        </w:rPr>
        <w:t xml:space="preserve"> </w:t>
      </w:r>
      <w:r w:rsidRPr="004654F2">
        <w:rPr>
          <w:sz w:val="24"/>
        </w:rPr>
        <w:t>competency</w:t>
      </w:r>
      <w:r w:rsidRPr="004654F2">
        <w:rPr>
          <w:spacing w:val="-14"/>
          <w:sz w:val="24"/>
        </w:rPr>
        <w:t xml:space="preserve"> </w:t>
      </w:r>
      <w:r w:rsidRPr="004654F2">
        <w:rPr>
          <w:sz w:val="24"/>
        </w:rPr>
        <w:t>in</w:t>
      </w:r>
      <w:r w:rsidRPr="004654F2">
        <w:rPr>
          <w:spacing w:val="-15"/>
          <w:sz w:val="24"/>
        </w:rPr>
        <w:t xml:space="preserve"> </w:t>
      </w:r>
      <w:r w:rsidRPr="004654F2">
        <w:rPr>
          <w:sz w:val="24"/>
        </w:rPr>
        <w:t>the</w:t>
      </w:r>
      <w:r w:rsidRPr="004654F2">
        <w:rPr>
          <w:spacing w:val="-15"/>
          <w:sz w:val="24"/>
        </w:rPr>
        <w:t xml:space="preserve"> </w:t>
      </w:r>
      <w:r w:rsidRPr="004654F2">
        <w:rPr>
          <w:sz w:val="24"/>
        </w:rPr>
        <w:t>use</w:t>
      </w:r>
      <w:r w:rsidRPr="004654F2">
        <w:rPr>
          <w:spacing w:val="-15"/>
          <w:sz w:val="24"/>
        </w:rPr>
        <w:t xml:space="preserve"> </w:t>
      </w:r>
      <w:r w:rsidRPr="004654F2">
        <w:rPr>
          <w:sz w:val="24"/>
        </w:rPr>
        <w:t>of</w:t>
      </w:r>
      <w:r w:rsidRPr="004654F2">
        <w:rPr>
          <w:spacing w:val="-15"/>
          <w:sz w:val="24"/>
        </w:rPr>
        <w:t xml:space="preserve"> </w:t>
      </w:r>
      <w:r w:rsidRPr="004654F2">
        <w:rPr>
          <w:sz w:val="24"/>
        </w:rPr>
        <w:t>word processing, spreadsheet and database packages</w:t>
      </w:r>
    </w:p>
    <w:p w14:paraId="4A460970"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7BE4FD41" w14:textId="77777777" w:rsidR="009D6E8A" w:rsidRPr="00190B67" w:rsidRDefault="009D6E8A" w:rsidP="00697DE2">
      <w:pPr>
        <w:pStyle w:val="Heading2"/>
        <w:rPr>
          <w:color w:val="011947"/>
        </w:rPr>
      </w:pPr>
      <w:r w:rsidRPr="00190B67">
        <w:rPr>
          <w:color w:val="011947"/>
        </w:rPr>
        <w:t>Requirements</w:t>
      </w:r>
    </w:p>
    <w:p w14:paraId="7DC5D59D" w14:textId="77777777" w:rsidR="003044A3" w:rsidRDefault="00D2771F" w:rsidP="00697DE2">
      <w:pPr>
        <w:rPr>
          <w:rFonts w:eastAsia="Times New Roman" w:cs="Arial"/>
          <w:bCs/>
          <w:sz w:val="24"/>
          <w:szCs w:val="24"/>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p>
    <w:p w14:paraId="1AD49237" w14:textId="25B076AF" w:rsidR="00D2771F" w:rsidRPr="00B732A4" w:rsidRDefault="00D2771F" w:rsidP="00697DE2">
      <w:pPr>
        <w:rPr>
          <w:rFonts w:ascii="Gill Sans MT" w:hAnsi="Gill Sans MT"/>
          <w:color w:val="011947"/>
          <w:spacing w:val="-2"/>
        </w:rPr>
      </w:pPr>
      <w:r w:rsidRPr="000D7012">
        <w:rPr>
          <w:rFonts w:eastAsia="Times New Roman" w:cs="Arial"/>
          <w:bCs/>
          <w:sz w:val="24"/>
          <w:szCs w:val="24"/>
        </w:rPr>
        <w:lastRenderedPageBreak/>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0C3084F8"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7F9F529"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7B3F1409" w14:textId="77777777" w:rsidR="00D2771F" w:rsidRPr="00B732A4"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0BF2E119" w14:textId="29A0D129" w:rsidR="00D2771F" w:rsidRPr="00114FAE"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A573FF">
              <w:rPr>
                <w:rFonts w:eastAsia="Times New Roman" w:cs="Arial"/>
                <w:bCs/>
                <w:sz w:val="24"/>
                <w:szCs w:val="24"/>
              </w:rPr>
              <w:t xml:space="preserve">The Head of the State Service has determined that the person nominated for this job is to satisfy a pre-employment check before taking up the appointment, on promotion or transfer. The following checks are to be conducted: </w:t>
            </w:r>
          </w:p>
          <w:p w14:paraId="7FB22211" w14:textId="77777777" w:rsidR="00D2771F" w:rsidRPr="00A573FF"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Conviction checks in the following areas:</w:t>
            </w:r>
          </w:p>
          <w:p w14:paraId="6FD1E9E6"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of violence</w:t>
            </w:r>
          </w:p>
          <w:p w14:paraId="630702FB"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sex related offences</w:t>
            </w:r>
          </w:p>
          <w:p w14:paraId="1F0A3CB7"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serious drug offences</w:t>
            </w:r>
          </w:p>
          <w:p w14:paraId="66C7F0AD" w14:textId="77777777" w:rsidR="00D2771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involving dishonesty</w:t>
            </w:r>
          </w:p>
          <w:p w14:paraId="1F68FF88"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cs="Arial"/>
                <w:bCs/>
                <w:sz w:val="24"/>
                <w:szCs w:val="24"/>
              </w:rPr>
              <w:t>serious traffic offences</w:t>
            </w:r>
          </w:p>
          <w:p w14:paraId="1A1FC05A" w14:textId="77777777" w:rsid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Identification check</w:t>
            </w:r>
          </w:p>
          <w:p w14:paraId="4F22FC29" w14:textId="77777777" w:rsidR="00D2771F" w:rsidRP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30202C">
              <w:rPr>
                <w:rFonts w:eastAsia="Times New Roman" w:cs="Arial"/>
                <w:bCs/>
                <w:sz w:val="24"/>
                <w:szCs w:val="24"/>
              </w:rPr>
              <w:t>Disciplinary actions in previous employment check</w:t>
            </w:r>
          </w:p>
        </w:tc>
      </w:tr>
      <w:tr w:rsidR="00D2771F" w14:paraId="72E66EC4"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3C69C9ED" w14:textId="77777777" w:rsidR="00D2771F" w:rsidRPr="00A65F3B" w:rsidRDefault="00D2771F" w:rsidP="00697DE2">
            <w:pPr>
              <w:rPr>
                <w:b/>
                <w:sz w:val="24"/>
                <w:szCs w:val="24"/>
              </w:rPr>
            </w:pPr>
            <w:r w:rsidRPr="00A65F3B">
              <w:rPr>
                <w:b/>
                <w:sz w:val="24"/>
                <w:szCs w:val="24"/>
              </w:rPr>
              <w:t>Desirable</w:t>
            </w:r>
          </w:p>
        </w:tc>
        <w:tc>
          <w:tcPr>
            <w:tcW w:w="7763" w:type="dxa"/>
          </w:tcPr>
          <w:p w14:paraId="2A82B1A9" w14:textId="04EA9D11" w:rsidR="00D2771F" w:rsidRPr="003044A3" w:rsidRDefault="003044A3"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3044A3">
              <w:rPr>
                <w:rFonts w:eastAsia="Times New Roman"/>
                <w:sz w:val="24"/>
                <w:szCs w:val="24"/>
              </w:rPr>
              <w:t>Tertiary qualifications in a relevant discipline</w:t>
            </w:r>
          </w:p>
        </w:tc>
      </w:tr>
    </w:tbl>
    <w:bookmarkEnd w:id="3"/>
    <w:bookmarkEnd w:id="0"/>
    <w:p w14:paraId="0D345542"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2BB788CA"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3B076F9F"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751F01E"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42D15689" w14:textId="77777777" w:rsidR="003044A3" w:rsidRDefault="00D2771F" w:rsidP="00697DE2">
      <w:pPr>
        <w:rPr>
          <w:sz w:val="24"/>
          <w:szCs w:val="24"/>
        </w:rPr>
      </w:pPr>
      <w:r w:rsidRPr="13847218">
        <w:rPr>
          <w:sz w:val="24"/>
          <w:szCs w:val="24"/>
        </w:rPr>
        <w:t xml:space="preserve">We are committed to providing a safe workplace for all employees and have zero tolerance to all forms of violence, including child abuse and harm. </w:t>
      </w:r>
    </w:p>
    <w:p w14:paraId="0D758212" w14:textId="2B3C4936" w:rsidR="00D2771F" w:rsidRDefault="00D2771F" w:rsidP="00697DE2">
      <w:pPr>
        <w:rPr>
          <w:sz w:val="24"/>
          <w:szCs w:val="24"/>
        </w:rPr>
      </w:pPr>
      <w:r w:rsidRPr="13847218">
        <w:rPr>
          <w:sz w:val="24"/>
          <w:szCs w:val="24"/>
        </w:rPr>
        <w:lastRenderedPageBreak/>
        <w:t>The Department is a smoke-free work environment, and smoking is prohibited in all State Government workplaces, including vehicles and vessels.</w:t>
      </w:r>
    </w:p>
    <w:p w14:paraId="700BB7D7"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0C98A201"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568BAD3F"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47821C28" w14:textId="77777777" w:rsidR="00D2771F" w:rsidRPr="00B732A4" w:rsidRDefault="00D2771F" w:rsidP="00697DE2">
      <w:pPr>
        <w:pStyle w:val="Heading2"/>
        <w:rPr>
          <w:color w:val="011947"/>
        </w:rPr>
      </w:pPr>
      <w:r w:rsidRPr="00B732A4">
        <w:rPr>
          <w:color w:val="011947"/>
        </w:rPr>
        <w:t>Commitment to Children and Young People</w:t>
      </w:r>
    </w:p>
    <w:p w14:paraId="657F154D"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576124F4"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44D399C1"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A0B82D3" w14:textId="77777777" w:rsidTr="00AE03E2">
        <w:trPr>
          <w:trHeight w:val="70"/>
          <w:tblHeader/>
        </w:trPr>
        <w:tc>
          <w:tcPr>
            <w:tcW w:w="9026" w:type="dxa"/>
          </w:tcPr>
          <w:p w14:paraId="5C143826" w14:textId="77777777" w:rsidR="003044A3" w:rsidRDefault="00D2771F" w:rsidP="003044A3">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3044A3" w:rsidRPr="00D720EC">
              <w:rPr>
                <w:rFonts w:cs="Arial"/>
              </w:rPr>
              <w:t xml:space="preserve">973874 – </w:t>
            </w:r>
            <w:r w:rsidR="003044A3">
              <w:rPr>
                <w:rFonts w:cs="Arial"/>
              </w:rPr>
              <w:t>Deputy</w:t>
            </w:r>
            <w:r w:rsidR="003044A3" w:rsidRPr="00D720EC">
              <w:rPr>
                <w:rFonts w:cs="Arial"/>
              </w:rPr>
              <w:t xml:space="preserve"> Director </w:t>
            </w:r>
            <w:r w:rsidR="003044A3">
              <w:rPr>
                <w:rFonts w:cs="Arial"/>
              </w:rPr>
              <w:t xml:space="preserve">Strategic Recruitment and Payroll Operations </w:t>
            </w:r>
            <w:r w:rsidR="003044A3" w:rsidRPr="00D720EC">
              <w:rPr>
                <w:rFonts w:cs="Arial"/>
              </w:rPr>
              <w:t>– DATE</w:t>
            </w:r>
            <w:r w:rsidR="003044A3">
              <w:rPr>
                <w:rFonts w:cs="Arial"/>
              </w:rPr>
              <w:t xml:space="preserve"> </w:t>
            </w:r>
          </w:p>
          <w:p w14:paraId="0EBAF601" w14:textId="77777777" w:rsidR="003044A3" w:rsidRPr="00D720EC" w:rsidRDefault="003044A3" w:rsidP="003044A3">
            <w:pPr>
              <w:tabs>
                <w:tab w:val="left" w:pos="180"/>
              </w:tabs>
              <w:rPr>
                <w:rFonts w:cs="Arial"/>
              </w:rPr>
            </w:pPr>
            <w:r w:rsidRPr="00D720EC">
              <w:rPr>
                <w:rFonts w:cs="Arial"/>
              </w:rPr>
              <w:t xml:space="preserve">Request: </w:t>
            </w:r>
          </w:p>
          <w:p w14:paraId="6A74486E" w14:textId="357C42EE" w:rsidR="00D2771F" w:rsidRPr="00D720EC" w:rsidRDefault="003044A3" w:rsidP="003044A3">
            <w:pPr>
              <w:spacing w:before="240" w:after="240"/>
              <w:rPr>
                <w:color w:val="000000"/>
                <w:lang w:val="en-US"/>
              </w:rPr>
            </w:pPr>
            <w:r w:rsidRPr="00D720EC">
              <w:rPr>
                <w:rFonts w:cs="Arial"/>
              </w:rPr>
              <w:t xml:space="preserve">Date Duties and Selection Criteria Last Reviewed:  </w:t>
            </w:r>
            <w:r>
              <w:rPr>
                <w:rFonts w:cs="Arial"/>
              </w:rPr>
              <w:t>DCT 2017</w:t>
            </w:r>
          </w:p>
        </w:tc>
      </w:tr>
      <w:bookmarkEnd w:id="4"/>
    </w:tbl>
    <w:p w14:paraId="76A68A7A"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9C7AE" w14:textId="77777777" w:rsidR="003044A3" w:rsidRDefault="003044A3" w:rsidP="0021185D">
      <w:pPr>
        <w:spacing w:after="0" w:line="240" w:lineRule="auto"/>
      </w:pPr>
      <w:r>
        <w:separator/>
      </w:r>
    </w:p>
    <w:p w14:paraId="74AE5DD0" w14:textId="77777777" w:rsidR="003044A3" w:rsidRDefault="003044A3"/>
  </w:endnote>
  <w:endnote w:type="continuationSeparator" w:id="0">
    <w:p w14:paraId="3F53A120" w14:textId="77777777" w:rsidR="003044A3" w:rsidRDefault="003044A3" w:rsidP="0021185D">
      <w:pPr>
        <w:spacing w:after="0" w:line="240" w:lineRule="auto"/>
      </w:pPr>
      <w:r>
        <w:continuationSeparator/>
      </w:r>
    </w:p>
    <w:p w14:paraId="065921CB" w14:textId="77777777" w:rsidR="003044A3" w:rsidRDefault="00304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BE4B"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773E0E19"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657E"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4A655D3A" wp14:editId="2DB65B07">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FD62C" w14:textId="77777777" w:rsidR="003044A3" w:rsidRDefault="003044A3" w:rsidP="0021185D">
      <w:pPr>
        <w:spacing w:after="0" w:line="240" w:lineRule="auto"/>
      </w:pPr>
      <w:r>
        <w:separator/>
      </w:r>
    </w:p>
    <w:p w14:paraId="79E84087" w14:textId="77777777" w:rsidR="003044A3" w:rsidRDefault="003044A3"/>
  </w:footnote>
  <w:footnote w:type="continuationSeparator" w:id="0">
    <w:p w14:paraId="55341E3C" w14:textId="77777777" w:rsidR="003044A3" w:rsidRDefault="003044A3" w:rsidP="0021185D">
      <w:pPr>
        <w:spacing w:after="0" w:line="240" w:lineRule="auto"/>
      </w:pPr>
      <w:r>
        <w:continuationSeparator/>
      </w:r>
    </w:p>
    <w:p w14:paraId="4B78BFCF" w14:textId="77777777" w:rsidR="003044A3" w:rsidRDefault="00304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E72A"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08E19802" wp14:editId="5191332E">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A61438"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7C0CA6"/>
    <w:multiLevelType w:val="hybridMultilevel"/>
    <w:tmpl w:val="EBAE23E0"/>
    <w:lvl w:ilvl="0" w:tplc="CE507A56">
      <w:start w:val="1"/>
      <w:numFmt w:val="decimal"/>
      <w:lvlText w:val="%1."/>
      <w:lvlJc w:val="left"/>
      <w:pPr>
        <w:ind w:left="686" w:hanging="567"/>
      </w:pPr>
      <w:rPr>
        <w:rFonts w:ascii="Gill Sans MT" w:eastAsia="Gill Sans MT" w:hAnsi="Gill Sans MT" w:cs="Gill Sans MT" w:hint="default"/>
        <w:b w:val="0"/>
        <w:bCs w:val="0"/>
        <w:i w:val="0"/>
        <w:iCs w:val="0"/>
        <w:spacing w:val="-1"/>
        <w:w w:val="100"/>
        <w:sz w:val="24"/>
        <w:szCs w:val="24"/>
        <w:lang w:val="en-US" w:eastAsia="en-US" w:bidi="ar-SA"/>
      </w:rPr>
    </w:lvl>
    <w:lvl w:ilvl="1" w:tplc="9AF8971C">
      <w:numFmt w:val="bullet"/>
      <w:lvlText w:val="•"/>
      <w:lvlJc w:val="left"/>
      <w:pPr>
        <w:ind w:left="1658" w:hanging="567"/>
      </w:pPr>
      <w:rPr>
        <w:rFonts w:hint="default"/>
        <w:lang w:val="en-US" w:eastAsia="en-US" w:bidi="ar-SA"/>
      </w:rPr>
    </w:lvl>
    <w:lvl w:ilvl="2" w:tplc="74C2D5AA">
      <w:numFmt w:val="bullet"/>
      <w:lvlText w:val="•"/>
      <w:lvlJc w:val="left"/>
      <w:pPr>
        <w:ind w:left="2637" w:hanging="567"/>
      </w:pPr>
      <w:rPr>
        <w:rFonts w:hint="default"/>
        <w:lang w:val="en-US" w:eastAsia="en-US" w:bidi="ar-SA"/>
      </w:rPr>
    </w:lvl>
    <w:lvl w:ilvl="3" w:tplc="9A867876">
      <w:numFmt w:val="bullet"/>
      <w:lvlText w:val="•"/>
      <w:lvlJc w:val="left"/>
      <w:pPr>
        <w:ind w:left="3615" w:hanging="567"/>
      </w:pPr>
      <w:rPr>
        <w:rFonts w:hint="default"/>
        <w:lang w:val="en-US" w:eastAsia="en-US" w:bidi="ar-SA"/>
      </w:rPr>
    </w:lvl>
    <w:lvl w:ilvl="4" w:tplc="DD66536C">
      <w:numFmt w:val="bullet"/>
      <w:lvlText w:val="•"/>
      <w:lvlJc w:val="left"/>
      <w:pPr>
        <w:ind w:left="4594" w:hanging="567"/>
      </w:pPr>
      <w:rPr>
        <w:rFonts w:hint="default"/>
        <w:lang w:val="en-US" w:eastAsia="en-US" w:bidi="ar-SA"/>
      </w:rPr>
    </w:lvl>
    <w:lvl w:ilvl="5" w:tplc="AA9E0C40">
      <w:numFmt w:val="bullet"/>
      <w:lvlText w:val="•"/>
      <w:lvlJc w:val="left"/>
      <w:pPr>
        <w:ind w:left="5573" w:hanging="567"/>
      </w:pPr>
      <w:rPr>
        <w:rFonts w:hint="default"/>
        <w:lang w:val="en-US" w:eastAsia="en-US" w:bidi="ar-SA"/>
      </w:rPr>
    </w:lvl>
    <w:lvl w:ilvl="6" w:tplc="6A1069FE">
      <w:numFmt w:val="bullet"/>
      <w:lvlText w:val="•"/>
      <w:lvlJc w:val="left"/>
      <w:pPr>
        <w:ind w:left="6551" w:hanging="567"/>
      </w:pPr>
      <w:rPr>
        <w:rFonts w:hint="default"/>
        <w:lang w:val="en-US" w:eastAsia="en-US" w:bidi="ar-SA"/>
      </w:rPr>
    </w:lvl>
    <w:lvl w:ilvl="7" w:tplc="A38A8CEC">
      <w:numFmt w:val="bullet"/>
      <w:lvlText w:val="•"/>
      <w:lvlJc w:val="left"/>
      <w:pPr>
        <w:ind w:left="7530" w:hanging="567"/>
      </w:pPr>
      <w:rPr>
        <w:rFonts w:hint="default"/>
        <w:lang w:val="en-US" w:eastAsia="en-US" w:bidi="ar-SA"/>
      </w:rPr>
    </w:lvl>
    <w:lvl w:ilvl="8" w:tplc="B2F60D8E">
      <w:numFmt w:val="bullet"/>
      <w:lvlText w:val="•"/>
      <w:lvlJc w:val="left"/>
      <w:pPr>
        <w:ind w:left="8509" w:hanging="567"/>
      </w:pPr>
      <w:rPr>
        <w:rFonts w:hint="default"/>
        <w:lang w:val="en-US" w:eastAsia="en-US" w:bidi="ar-SA"/>
      </w:rPr>
    </w:lvl>
  </w:abstractNum>
  <w:abstractNum w:abstractNumId="9"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B3EBF"/>
    <w:multiLevelType w:val="multilevel"/>
    <w:tmpl w:val="CA3C0B58"/>
    <w:numStyleLink w:val="Bullets"/>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C93082"/>
    <w:multiLevelType w:val="hybridMultilevel"/>
    <w:tmpl w:val="4C9A114C"/>
    <w:lvl w:ilvl="0" w:tplc="DE2018F6">
      <w:numFmt w:val="bullet"/>
      <w:lvlText w:val=""/>
      <w:lvlJc w:val="left"/>
      <w:pPr>
        <w:ind w:left="686" w:hanging="567"/>
      </w:pPr>
      <w:rPr>
        <w:rFonts w:ascii="Symbol" w:eastAsia="Symbol" w:hAnsi="Symbol" w:cs="Symbol" w:hint="default"/>
        <w:b w:val="0"/>
        <w:bCs w:val="0"/>
        <w:i w:val="0"/>
        <w:iCs w:val="0"/>
        <w:spacing w:val="0"/>
        <w:w w:val="100"/>
        <w:sz w:val="24"/>
        <w:szCs w:val="24"/>
        <w:lang w:val="en-US" w:eastAsia="en-US" w:bidi="ar-SA"/>
      </w:rPr>
    </w:lvl>
    <w:lvl w:ilvl="1" w:tplc="E8D02678">
      <w:numFmt w:val="bullet"/>
      <w:lvlText w:val="•"/>
      <w:lvlJc w:val="left"/>
      <w:pPr>
        <w:ind w:left="1658" w:hanging="567"/>
      </w:pPr>
      <w:rPr>
        <w:rFonts w:hint="default"/>
        <w:lang w:val="en-US" w:eastAsia="en-US" w:bidi="ar-SA"/>
      </w:rPr>
    </w:lvl>
    <w:lvl w:ilvl="2" w:tplc="36B07EE0">
      <w:numFmt w:val="bullet"/>
      <w:lvlText w:val="•"/>
      <w:lvlJc w:val="left"/>
      <w:pPr>
        <w:ind w:left="2637" w:hanging="567"/>
      </w:pPr>
      <w:rPr>
        <w:rFonts w:hint="default"/>
        <w:lang w:val="en-US" w:eastAsia="en-US" w:bidi="ar-SA"/>
      </w:rPr>
    </w:lvl>
    <w:lvl w:ilvl="3" w:tplc="E5906A6E">
      <w:numFmt w:val="bullet"/>
      <w:lvlText w:val="•"/>
      <w:lvlJc w:val="left"/>
      <w:pPr>
        <w:ind w:left="3615" w:hanging="567"/>
      </w:pPr>
      <w:rPr>
        <w:rFonts w:hint="default"/>
        <w:lang w:val="en-US" w:eastAsia="en-US" w:bidi="ar-SA"/>
      </w:rPr>
    </w:lvl>
    <w:lvl w:ilvl="4" w:tplc="6F00C40E">
      <w:numFmt w:val="bullet"/>
      <w:lvlText w:val="•"/>
      <w:lvlJc w:val="left"/>
      <w:pPr>
        <w:ind w:left="4594" w:hanging="567"/>
      </w:pPr>
      <w:rPr>
        <w:rFonts w:hint="default"/>
        <w:lang w:val="en-US" w:eastAsia="en-US" w:bidi="ar-SA"/>
      </w:rPr>
    </w:lvl>
    <w:lvl w:ilvl="5" w:tplc="ECE48FF2">
      <w:numFmt w:val="bullet"/>
      <w:lvlText w:val="•"/>
      <w:lvlJc w:val="left"/>
      <w:pPr>
        <w:ind w:left="5573" w:hanging="567"/>
      </w:pPr>
      <w:rPr>
        <w:rFonts w:hint="default"/>
        <w:lang w:val="en-US" w:eastAsia="en-US" w:bidi="ar-SA"/>
      </w:rPr>
    </w:lvl>
    <w:lvl w:ilvl="6" w:tplc="BE3ED7C0">
      <w:numFmt w:val="bullet"/>
      <w:lvlText w:val="•"/>
      <w:lvlJc w:val="left"/>
      <w:pPr>
        <w:ind w:left="6551" w:hanging="567"/>
      </w:pPr>
      <w:rPr>
        <w:rFonts w:hint="default"/>
        <w:lang w:val="en-US" w:eastAsia="en-US" w:bidi="ar-SA"/>
      </w:rPr>
    </w:lvl>
    <w:lvl w:ilvl="7" w:tplc="6C5A4194">
      <w:numFmt w:val="bullet"/>
      <w:lvlText w:val="•"/>
      <w:lvlJc w:val="left"/>
      <w:pPr>
        <w:ind w:left="7530" w:hanging="567"/>
      </w:pPr>
      <w:rPr>
        <w:rFonts w:hint="default"/>
        <w:lang w:val="en-US" w:eastAsia="en-US" w:bidi="ar-SA"/>
      </w:rPr>
    </w:lvl>
    <w:lvl w:ilvl="8" w:tplc="3732D52E">
      <w:numFmt w:val="bullet"/>
      <w:lvlText w:val="•"/>
      <w:lvlJc w:val="left"/>
      <w:pPr>
        <w:ind w:left="8509" w:hanging="567"/>
      </w:pPr>
      <w:rPr>
        <w:rFonts w:hint="default"/>
        <w:lang w:val="en-US" w:eastAsia="en-US" w:bidi="ar-SA"/>
      </w:rPr>
    </w:lvl>
  </w:abstractNum>
  <w:abstractNum w:abstractNumId="19"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3"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7"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8"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9"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D996E81"/>
    <w:multiLevelType w:val="hybridMultilevel"/>
    <w:tmpl w:val="587602C8"/>
    <w:lvl w:ilvl="0" w:tplc="F20659AC">
      <w:start w:val="1"/>
      <w:numFmt w:val="decimal"/>
      <w:lvlText w:val="%1."/>
      <w:lvlJc w:val="left"/>
      <w:pPr>
        <w:ind w:left="686" w:hanging="567"/>
      </w:pPr>
      <w:rPr>
        <w:rFonts w:ascii="Gill Sans MT" w:eastAsia="Gill Sans MT" w:hAnsi="Gill Sans MT" w:cs="Gill Sans MT" w:hint="default"/>
        <w:b w:val="0"/>
        <w:bCs w:val="0"/>
        <w:i w:val="0"/>
        <w:iCs w:val="0"/>
        <w:spacing w:val="-1"/>
        <w:w w:val="100"/>
        <w:sz w:val="24"/>
        <w:szCs w:val="24"/>
        <w:lang w:val="en-US" w:eastAsia="en-US" w:bidi="ar-SA"/>
      </w:rPr>
    </w:lvl>
    <w:lvl w:ilvl="1" w:tplc="915E5542">
      <w:numFmt w:val="bullet"/>
      <w:lvlText w:val=""/>
      <w:lvlJc w:val="left"/>
      <w:pPr>
        <w:ind w:left="686" w:hanging="567"/>
      </w:pPr>
      <w:rPr>
        <w:rFonts w:ascii="Symbol" w:eastAsia="Symbol" w:hAnsi="Symbol" w:cs="Symbol" w:hint="default"/>
        <w:b w:val="0"/>
        <w:bCs w:val="0"/>
        <w:i w:val="0"/>
        <w:iCs w:val="0"/>
        <w:spacing w:val="0"/>
        <w:w w:val="100"/>
        <w:sz w:val="24"/>
        <w:szCs w:val="24"/>
        <w:lang w:val="en-US" w:eastAsia="en-US" w:bidi="ar-SA"/>
      </w:rPr>
    </w:lvl>
    <w:lvl w:ilvl="2" w:tplc="491E81C2">
      <w:start w:val="1"/>
      <w:numFmt w:val="decimal"/>
      <w:lvlText w:val="%3"/>
      <w:lvlJc w:val="left"/>
      <w:pPr>
        <w:ind w:left="1253" w:hanging="567"/>
      </w:pPr>
      <w:rPr>
        <w:rFonts w:ascii="Gill Sans MT" w:eastAsia="Gill Sans MT" w:hAnsi="Gill Sans MT" w:cs="Gill Sans MT" w:hint="default"/>
        <w:b w:val="0"/>
        <w:bCs w:val="0"/>
        <w:i w:val="0"/>
        <w:iCs w:val="0"/>
        <w:spacing w:val="0"/>
        <w:w w:val="100"/>
        <w:sz w:val="24"/>
        <w:szCs w:val="24"/>
        <w:lang w:val="en-US" w:eastAsia="en-US" w:bidi="ar-SA"/>
      </w:rPr>
    </w:lvl>
    <w:lvl w:ilvl="3" w:tplc="87E01FEE">
      <w:start w:val="1"/>
      <w:numFmt w:val="lowerLetter"/>
      <w:lvlText w:val="%4)"/>
      <w:lvlJc w:val="left"/>
      <w:pPr>
        <w:ind w:left="1822" w:hanging="569"/>
      </w:pPr>
      <w:rPr>
        <w:rFonts w:ascii="Gill Sans MT" w:eastAsia="Gill Sans MT" w:hAnsi="Gill Sans MT" w:cs="Gill Sans MT" w:hint="default"/>
        <w:b w:val="0"/>
        <w:bCs w:val="0"/>
        <w:i w:val="0"/>
        <w:iCs w:val="0"/>
        <w:spacing w:val="0"/>
        <w:w w:val="100"/>
        <w:sz w:val="24"/>
        <w:szCs w:val="24"/>
        <w:lang w:val="en-US" w:eastAsia="en-US" w:bidi="ar-SA"/>
      </w:rPr>
    </w:lvl>
    <w:lvl w:ilvl="4" w:tplc="420C4BD2">
      <w:numFmt w:val="bullet"/>
      <w:lvlText w:val="•"/>
      <w:lvlJc w:val="left"/>
      <w:pPr>
        <w:ind w:left="3981" w:hanging="569"/>
      </w:pPr>
      <w:rPr>
        <w:rFonts w:hint="default"/>
        <w:lang w:val="en-US" w:eastAsia="en-US" w:bidi="ar-SA"/>
      </w:rPr>
    </w:lvl>
    <w:lvl w:ilvl="5" w:tplc="2674B64E">
      <w:numFmt w:val="bullet"/>
      <w:lvlText w:val="•"/>
      <w:lvlJc w:val="left"/>
      <w:pPr>
        <w:ind w:left="5062" w:hanging="569"/>
      </w:pPr>
      <w:rPr>
        <w:rFonts w:hint="default"/>
        <w:lang w:val="en-US" w:eastAsia="en-US" w:bidi="ar-SA"/>
      </w:rPr>
    </w:lvl>
    <w:lvl w:ilvl="6" w:tplc="8266FE86">
      <w:numFmt w:val="bullet"/>
      <w:lvlText w:val="•"/>
      <w:lvlJc w:val="left"/>
      <w:pPr>
        <w:ind w:left="6143" w:hanging="569"/>
      </w:pPr>
      <w:rPr>
        <w:rFonts w:hint="default"/>
        <w:lang w:val="en-US" w:eastAsia="en-US" w:bidi="ar-SA"/>
      </w:rPr>
    </w:lvl>
    <w:lvl w:ilvl="7" w:tplc="E39ECE7C">
      <w:numFmt w:val="bullet"/>
      <w:lvlText w:val="•"/>
      <w:lvlJc w:val="left"/>
      <w:pPr>
        <w:ind w:left="7224" w:hanging="569"/>
      </w:pPr>
      <w:rPr>
        <w:rFonts w:hint="default"/>
        <w:lang w:val="en-US" w:eastAsia="en-US" w:bidi="ar-SA"/>
      </w:rPr>
    </w:lvl>
    <w:lvl w:ilvl="8" w:tplc="0302D610">
      <w:numFmt w:val="bullet"/>
      <w:lvlText w:val="•"/>
      <w:lvlJc w:val="left"/>
      <w:pPr>
        <w:ind w:left="8304" w:hanging="569"/>
      </w:pPr>
      <w:rPr>
        <w:rFonts w:hint="default"/>
        <w:lang w:val="en-US" w:eastAsia="en-US" w:bidi="ar-SA"/>
      </w:rPr>
    </w:lvl>
  </w:abstractNum>
  <w:abstractNum w:abstractNumId="31"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1"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9"/>
  </w:num>
  <w:num w:numId="2" w16cid:durableId="1099250515">
    <w:abstractNumId w:val="21"/>
  </w:num>
  <w:num w:numId="3" w16cid:durableId="454718066">
    <w:abstractNumId w:val="23"/>
  </w:num>
  <w:num w:numId="4" w16cid:durableId="20790063">
    <w:abstractNumId w:val="7"/>
  </w:num>
  <w:num w:numId="5" w16cid:durableId="1314144844">
    <w:abstractNumId w:val="13"/>
  </w:num>
  <w:num w:numId="6" w16cid:durableId="1346397344">
    <w:abstractNumId w:val="15"/>
  </w:num>
  <w:num w:numId="7" w16cid:durableId="292291676">
    <w:abstractNumId w:val="38"/>
  </w:num>
  <w:num w:numId="8" w16cid:durableId="2030371840">
    <w:abstractNumId w:val="6"/>
  </w:num>
  <w:num w:numId="9" w16cid:durableId="858272417">
    <w:abstractNumId w:val="1"/>
  </w:num>
  <w:num w:numId="10" w16cid:durableId="69281409">
    <w:abstractNumId w:val="2"/>
  </w:num>
  <w:num w:numId="11" w16cid:durableId="1379667581">
    <w:abstractNumId w:val="11"/>
  </w:num>
  <w:num w:numId="12" w16cid:durableId="680619599">
    <w:abstractNumId w:val="20"/>
  </w:num>
  <w:num w:numId="13" w16cid:durableId="2100369805">
    <w:abstractNumId w:val="28"/>
  </w:num>
  <w:num w:numId="14" w16cid:durableId="1671323240">
    <w:abstractNumId w:val="4"/>
  </w:num>
  <w:num w:numId="15" w16cid:durableId="1858543762">
    <w:abstractNumId w:val="16"/>
  </w:num>
  <w:num w:numId="16" w16cid:durableId="57754739">
    <w:abstractNumId w:val="22"/>
  </w:num>
  <w:num w:numId="17" w16cid:durableId="223832047">
    <w:abstractNumId w:val="5"/>
  </w:num>
  <w:num w:numId="18" w16cid:durableId="1729499897">
    <w:abstractNumId w:val="41"/>
  </w:num>
  <w:num w:numId="19" w16cid:durableId="2132505946">
    <w:abstractNumId w:val="25"/>
  </w:num>
  <w:num w:numId="20" w16cid:durableId="1541359452">
    <w:abstractNumId w:val="27"/>
  </w:num>
  <w:num w:numId="21" w16cid:durableId="434911651">
    <w:abstractNumId w:val="31"/>
  </w:num>
  <w:num w:numId="22" w16cid:durableId="1089351798">
    <w:abstractNumId w:val="37"/>
  </w:num>
  <w:num w:numId="23" w16cid:durableId="12651935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40"/>
  </w:num>
  <w:num w:numId="26" w16cid:durableId="1325013784">
    <w:abstractNumId w:val="14"/>
  </w:num>
  <w:num w:numId="27" w16cid:durableId="1185024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9"/>
  </w:num>
  <w:num w:numId="29" w16cid:durableId="583146408">
    <w:abstractNumId w:val="24"/>
  </w:num>
  <w:num w:numId="30" w16cid:durableId="133329015">
    <w:abstractNumId w:val="17"/>
  </w:num>
  <w:num w:numId="31" w16cid:durableId="1559319133">
    <w:abstractNumId w:val="33"/>
  </w:num>
  <w:num w:numId="32" w16cid:durableId="2147239570">
    <w:abstractNumId w:val="10"/>
  </w:num>
  <w:num w:numId="33" w16cid:durableId="457382409">
    <w:abstractNumId w:val="9"/>
  </w:num>
  <w:num w:numId="34" w16cid:durableId="972101933">
    <w:abstractNumId w:val="3"/>
  </w:num>
  <w:num w:numId="35" w16cid:durableId="1836727596">
    <w:abstractNumId w:val="19"/>
  </w:num>
  <w:num w:numId="36" w16cid:durableId="61105151">
    <w:abstractNumId w:val="26"/>
  </w:num>
  <w:num w:numId="37" w16cid:durableId="281304752">
    <w:abstractNumId w:val="32"/>
  </w:num>
  <w:num w:numId="38" w16cid:durableId="1222055391">
    <w:abstractNumId w:val="35"/>
  </w:num>
  <w:num w:numId="39" w16cid:durableId="1579637143">
    <w:abstractNumId w:val="36"/>
  </w:num>
  <w:num w:numId="40" w16cid:durableId="1794135911">
    <w:abstractNumId w:val="18"/>
  </w:num>
  <w:num w:numId="41" w16cid:durableId="1558974629">
    <w:abstractNumId w:val="30"/>
  </w:num>
  <w:num w:numId="42" w16cid:durableId="22365621">
    <w:abstractNumId w:val="34"/>
  </w:num>
  <w:num w:numId="43" w16cid:durableId="133537346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A3"/>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A609F"/>
    <w:rsid w:val="002C1C14"/>
    <w:rsid w:val="002C2248"/>
    <w:rsid w:val="002C5E53"/>
    <w:rsid w:val="002F74C8"/>
    <w:rsid w:val="0030202C"/>
    <w:rsid w:val="00302D72"/>
    <w:rsid w:val="003044A3"/>
    <w:rsid w:val="00314A9E"/>
    <w:rsid w:val="00315A37"/>
    <w:rsid w:val="00315FC6"/>
    <w:rsid w:val="00335740"/>
    <w:rsid w:val="00350EB8"/>
    <w:rsid w:val="00356782"/>
    <w:rsid w:val="00382D9E"/>
    <w:rsid w:val="00394B1B"/>
    <w:rsid w:val="00395538"/>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458C0"/>
    <w:rsid w:val="00680938"/>
    <w:rsid w:val="00697DE2"/>
    <w:rsid w:val="006C2F21"/>
    <w:rsid w:val="006D4872"/>
    <w:rsid w:val="006D7008"/>
    <w:rsid w:val="006D7169"/>
    <w:rsid w:val="006E7034"/>
    <w:rsid w:val="007260EA"/>
    <w:rsid w:val="0073162E"/>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7383"/>
    <w:rsid w:val="00D376EC"/>
    <w:rsid w:val="00D377F8"/>
    <w:rsid w:val="00D42731"/>
    <w:rsid w:val="00D44AA7"/>
    <w:rsid w:val="00D5450E"/>
    <w:rsid w:val="00D70A45"/>
    <w:rsid w:val="00D82155"/>
    <w:rsid w:val="00D965A0"/>
    <w:rsid w:val="00DA0E2B"/>
    <w:rsid w:val="00DB369F"/>
    <w:rsid w:val="00DD7B0A"/>
    <w:rsid w:val="00E069E9"/>
    <w:rsid w:val="00E14C45"/>
    <w:rsid w:val="00E25C7B"/>
    <w:rsid w:val="00E3103F"/>
    <w:rsid w:val="00E36F56"/>
    <w:rsid w:val="00E441F1"/>
    <w:rsid w:val="00E50FF8"/>
    <w:rsid w:val="00E61456"/>
    <w:rsid w:val="00E7126F"/>
    <w:rsid w:val="00E8310E"/>
    <w:rsid w:val="00E8482A"/>
    <w:rsid w:val="00E92BDF"/>
    <w:rsid w:val="00E9525A"/>
    <w:rsid w:val="00EB7B54"/>
    <w:rsid w:val="00EC7BED"/>
    <w:rsid w:val="00EE2CB4"/>
    <w:rsid w:val="00EF0022"/>
    <w:rsid w:val="00F000B3"/>
    <w:rsid w:val="00F00402"/>
    <w:rsid w:val="00F00C5A"/>
    <w:rsid w:val="00F25D12"/>
    <w:rsid w:val="00F32565"/>
    <w:rsid w:val="00F52F3C"/>
    <w:rsid w:val="00F87EB5"/>
    <w:rsid w:val="00FC6165"/>
    <w:rsid w:val="00FE016D"/>
    <w:rsid w:val="00FE747F"/>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7AA69"/>
  <w15:chartTrackingRefBased/>
  <w15:docId w15:val="{90DC3A55-A38B-4CA0-B6CE-9953DEAF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Heading"/>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styleId="BodyText">
    <w:name w:val="Body Text"/>
    <w:basedOn w:val="Normal"/>
    <w:link w:val="BodyTextChar"/>
    <w:uiPriority w:val="99"/>
    <w:unhideWhenUsed/>
    <w:rsid w:val="003044A3"/>
    <w:pPr>
      <w:spacing w:before="120" w:line="240" w:lineRule="auto"/>
    </w:pPr>
    <w:rPr>
      <w:rFonts w:ascii="Gill Sans MT" w:eastAsia="Gill Sans MT Std Light" w:hAnsi="Gill Sans MT" w:cs="Times New Roman"/>
      <w:spacing w:val="-2"/>
      <w:kern w:val="0"/>
      <w14:ligatures w14:val="none"/>
    </w:rPr>
  </w:style>
  <w:style w:type="character" w:customStyle="1" w:styleId="BodyTextChar">
    <w:name w:val="Body Text Char"/>
    <w:basedOn w:val="DefaultParagraphFont"/>
    <w:link w:val="BodyText"/>
    <w:uiPriority w:val="99"/>
    <w:rsid w:val="003044A3"/>
    <w:rPr>
      <w:rFonts w:ascii="Gill Sans MT" w:eastAsia="Gill Sans MT Std Light" w:hAnsi="Gill Sans MT" w:cs="Times New Roman"/>
      <w:spacing w:val="-2"/>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Downloads\Statements%20of%20Duties%20Templat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3259AF72C64F1C8F8C494F3C13F6B5"/>
        <w:category>
          <w:name w:val="General"/>
          <w:gallery w:val="placeholder"/>
        </w:category>
        <w:types>
          <w:type w:val="bbPlcHdr"/>
        </w:types>
        <w:behaviors>
          <w:behavior w:val="content"/>
        </w:behaviors>
        <w:guid w:val="{0FAE4CBC-E7C4-4700-9456-B5E25BA61F1F}"/>
      </w:docPartPr>
      <w:docPartBody>
        <w:p w:rsidR="00D07865" w:rsidRDefault="00D07865">
          <w:pPr>
            <w:pStyle w:val="803259AF72C64F1C8F8C494F3C13F6B5"/>
          </w:pPr>
          <w:r w:rsidRPr="00370966">
            <w:rPr>
              <w:rStyle w:val="PlaceholderText"/>
            </w:rPr>
            <w:t>[Title]</w:t>
          </w:r>
        </w:p>
      </w:docPartBody>
    </w:docPart>
    <w:docPart>
      <w:docPartPr>
        <w:name w:val="E5DF7F3C97534BAC894C48EB9D6E38EE"/>
        <w:category>
          <w:name w:val="General"/>
          <w:gallery w:val="placeholder"/>
        </w:category>
        <w:types>
          <w:type w:val="bbPlcHdr"/>
        </w:types>
        <w:behaviors>
          <w:behavior w:val="content"/>
        </w:behaviors>
        <w:guid w:val="{E9D4D365-DB30-4D8C-90DB-08DF26909212}"/>
      </w:docPartPr>
      <w:docPartBody>
        <w:p w:rsidR="00D07865" w:rsidRDefault="00D07865">
          <w:pPr>
            <w:pStyle w:val="E5DF7F3C97534BAC894C48EB9D6E38EE"/>
          </w:pPr>
          <w:r w:rsidRPr="00A11DEF">
            <w:rPr>
              <w:rStyle w:val="PlaceholderText"/>
            </w:rPr>
            <w:t>Choose an item.</w:t>
          </w:r>
        </w:p>
      </w:docPartBody>
    </w:docPart>
    <w:docPart>
      <w:docPartPr>
        <w:name w:val="99C84223D9844064B8987561F698BEE5"/>
        <w:category>
          <w:name w:val="General"/>
          <w:gallery w:val="placeholder"/>
        </w:category>
        <w:types>
          <w:type w:val="bbPlcHdr"/>
        </w:types>
        <w:behaviors>
          <w:behavior w:val="content"/>
        </w:behaviors>
        <w:guid w:val="{9DDC2E06-AB08-44FD-BF92-B2531333919F}"/>
      </w:docPartPr>
      <w:docPartBody>
        <w:p w:rsidR="00D07865" w:rsidRDefault="00D07865">
          <w:pPr>
            <w:pStyle w:val="99C84223D9844064B8987561F698BEE5"/>
          </w:pPr>
          <w:r w:rsidRPr="00727CD6">
            <w:rPr>
              <w:rStyle w:val="PlaceholderText"/>
            </w:rPr>
            <w:t>Choose an item</w:t>
          </w:r>
          <w:r>
            <w:rPr>
              <w:rStyle w:val="PlaceholderText"/>
            </w:rPr>
            <w:t xml:space="preserve"> below</w:t>
          </w:r>
          <w:r w:rsidRPr="00727CD6">
            <w:rPr>
              <w:rStyle w:val="PlaceholderText"/>
            </w:rPr>
            <w:t>.</w:t>
          </w:r>
        </w:p>
      </w:docPartBody>
    </w:docPart>
    <w:docPart>
      <w:docPartPr>
        <w:name w:val="03AA9AF4DFA94BC5B310BCE72F18B116"/>
        <w:category>
          <w:name w:val="General"/>
          <w:gallery w:val="placeholder"/>
        </w:category>
        <w:types>
          <w:type w:val="bbPlcHdr"/>
        </w:types>
        <w:behaviors>
          <w:behavior w:val="content"/>
        </w:behaviors>
        <w:guid w:val="{B15FE950-F728-4575-A120-80687B6D5684}"/>
      </w:docPartPr>
      <w:docPartBody>
        <w:p w:rsidR="00D07865" w:rsidRDefault="00D07865">
          <w:pPr>
            <w:pStyle w:val="03AA9AF4DFA94BC5B310BCE72F18B116"/>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5"/>
    <w:rsid w:val="00382D9E"/>
    <w:rsid w:val="00D07865"/>
    <w:rsid w:val="00EB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3259AF72C64F1C8F8C494F3C13F6B5">
    <w:name w:val="803259AF72C64F1C8F8C494F3C13F6B5"/>
  </w:style>
  <w:style w:type="paragraph" w:customStyle="1" w:styleId="E5DF7F3C97534BAC894C48EB9D6E38EE">
    <w:name w:val="E5DF7F3C97534BAC894C48EB9D6E38EE"/>
  </w:style>
  <w:style w:type="paragraph" w:customStyle="1" w:styleId="99C84223D9844064B8987561F698BEE5">
    <w:name w:val="99C84223D9844064B8987561F698BEE5"/>
  </w:style>
  <w:style w:type="paragraph" w:customStyle="1" w:styleId="03AA9AF4DFA94BC5B310BCE72F18B116">
    <w:name w:val="03AA9AF4DFA94BC5B310BCE72F18B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2.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Statements of Duties Template 2024 (1)</Template>
  <TotalTime>0</TotalTime>
  <Pages>6</Pages>
  <Words>1935</Words>
  <Characters>11480</Characters>
  <Application>Microsoft Office Word</Application>
  <DocSecurity>0</DocSecurity>
  <Lines>229</Lines>
  <Paragraphs>115</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13300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Policy and Engagement Officer</dc:title>
  <dc:subject/>
  <dc:creator>Baker, Chloe</dc:creator>
  <cp:keywords/>
  <dc:description/>
  <cp:lastModifiedBy>Baker, Chloe</cp:lastModifiedBy>
  <cp:revision>2</cp:revision>
  <cp:lastPrinted>2023-08-01T07:12:00Z</cp:lastPrinted>
  <dcterms:created xsi:type="dcterms:W3CDTF">2024-10-17T21:42:00Z</dcterms:created>
  <dcterms:modified xsi:type="dcterms:W3CDTF">2024-10-17T21:42:00Z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