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FD5655">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4"/>
          <w:szCs w:val="44"/>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EndPr/>
      <w:sdtContent>
        <w:p w14:paraId="02402857" w14:textId="6DAE46C3" w:rsidR="00644F9F" w:rsidRPr="00190B67" w:rsidRDefault="006111D4" w:rsidP="00644F9F">
          <w:pPr>
            <w:pStyle w:val="Title"/>
            <w:rPr>
              <w:color w:val="011947"/>
            </w:rPr>
          </w:pPr>
          <w:r>
            <w:rPr>
              <w:sz w:val="44"/>
              <w:szCs w:val="44"/>
            </w:rPr>
            <w:t>Education Officer (Child and Family Learning Centre)</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341A6DB1" w:rsidR="006F6682" w:rsidRPr="0057614B" w:rsidRDefault="006111D4"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May</w:t>
            </w:r>
            <w:r w:rsidR="006F6682">
              <w:rPr>
                <w:sz w:val="28"/>
                <w:szCs w:val="28"/>
              </w:rPr>
              <w:t xml:space="preserve"> </w:t>
            </w:r>
            <w:r>
              <w:rPr>
                <w:sz w:val="28"/>
                <w:szCs w:val="28"/>
              </w:rPr>
              <w:t>2017</w:t>
            </w:r>
          </w:p>
        </w:tc>
      </w:tr>
      <w:tr w:rsidR="007D64D9"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6F6682" w:rsidRDefault="007D64D9" w:rsidP="007D64D9">
            <w:pPr>
              <w:rPr>
                <w:sz w:val="24"/>
                <w:szCs w:val="24"/>
              </w:rPr>
            </w:pPr>
            <w:r w:rsidRPr="006F6682">
              <w:rPr>
                <w:sz w:val="24"/>
                <w:szCs w:val="24"/>
              </w:rPr>
              <w:t>Number</w:t>
            </w:r>
          </w:p>
        </w:tc>
        <w:tc>
          <w:tcPr>
            <w:tcW w:w="6458" w:type="dxa"/>
            <w:gridSpan w:val="2"/>
            <w:vAlign w:val="top"/>
          </w:tcPr>
          <w:p w14:paraId="40C273E1" w14:textId="2CC89941" w:rsidR="007D64D9" w:rsidRPr="00B103A8" w:rsidRDefault="000C4A63" w:rsidP="007D64D9">
            <w:pPr>
              <w:cnfStyle w:val="000000100000" w:firstRow="0" w:lastRow="0" w:firstColumn="0" w:lastColumn="0" w:oddVBand="0" w:evenVBand="0" w:oddHBand="1" w:evenHBand="0" w:firstRowFirstColumn="0" w:firstRowLastColumn="0" w:lastRowFirstColumn="0" w:lastRowLastColumn="0"/>
            </w:pPr>
            <w:r w:rsidRPr="00A62150">
              <w:rPr>
                <w:rFonts w:eastAsia="Times New Roman" w:cs="Arial"/>
                <w:bCs/>
                <w:sz w:val="24"/>
                <w:szCs w:val="24"/>
              </w:rPr>
              <w:t>Generic</w:t>
            </w:r>
          </w:p>
        </w:tc>
      </w:tr>
      <w:tr w:rsidR="007D64D9"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C07E303" w14:textId="10ADC0D6" w:rsidR="007D64D9" w:rsidRPr="00B103A8" w:rsidRDefault="00AB61FD" w:rsidP="007D64D9">
            <w:pPr>
              <w:cnfStyle w:val="000000000000" w:firstRow="0" w:lastRow="0" w:firstColumn="0" w:lastColumn="0" w:oddVBand="0" w:evenVBand="0" w:oddHBand="0" w:evenHBand="0" w:firstRowFirstColumn="0" w:firstRowLastColumn="0" w:lastRowFirstColumn="0" w:lastRowLastColumn="0"/>
            </w:pPr>
            <w:r w:rsidRPr="00A62150">
              <w:rPr>
                <w:rFonts w:eastAsia="Times New Roman" w:cs="Arial"/>
                <w:bCs/>
                <w:sz w:val="24"/>
                <w:szCs w:val="24"/>
              </w:rPr>
              <w:t>Children and Young People</w:t>
            </w:r>
          </w:p>
        </w:tc>
      </w:tr>
      <w:tr w:rsidR="007D64D9"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40F61C2C" w14:textId="19294647" w:rsidR="007D64D9" w:rsidRPr="00B103A8" w:rsidRDefault="00E60A97" w:rsidP="007D64D9">
            <w:pPr>
              <w:cnfStyle w:val="000000100000" w:firstRow="0" w:lastRow="0" w:firstColumn="0" w:lastColumn="0" w:oddVBand="0" w:evenVBand="0" w:oddHBand="1" w:evenHBand="0" w:firstRowFirstColumn="0" w:firstRowLastColumn="0" w:lastRowFirstColumn="0" w:lastRowLastColumn="0"/>
            </w:pPr>
            <w:r w:rsidRPr="00A62150">
              <w:rPr>
                <w:rFonts w:eastAsia="Times New Roman" w:cs="Arial"/>
                <w:bCs/>
                <w:sz w:val="24"/>
                <w:szCs w:val="24"/>
              </w:rPr>
              <w:t>Child and Family Learning Centres</w:t>
            </w:r>
          </w:p>
        </w:tc>
      </w:tr>
      <w:tr w:rsidR="007D64D9"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7D64D9" w:rsidRPr="006F6682" w:rsidRDefault="007D64D9" w:rsidP="007D64D9">
            <w:pPr>
              <w:rPr>
                <w:sz w:val="24"/>
                <w:szCs w:val="24"/>
              </w:rPr>
            </w:pPr>
            <w:r w:rsidRPr="006F6682">
              <w:rPr>
                <w:sz w:val="24"/>
                <w:szCs w:val="24"/>
              </w:rPr>
              <w:t>Section</w:t>
            </w:r>
          </w:p>
        </w:tc>
        <w:tc>
          <w:tcPr>
            <w:tcW w:w="6458" w:type="dxa"/>
            <w:gridSpan w:val="2"/>
            <w:vAlign w:val="top"/>
          </w:tcPr>
          <w:p w14:paraId="561EA7C6" w14:textId="01CD380A" w:rsidR="007D64D9" w:rsidRPr="00B103A8" w:rsidRDefault="003430ED" w:rsidP="007D64D9">
            <w:pPr>
              <w:cnfStyle w:val="000000000000" w:firstRow="0" w:lastRow="0" w:firstColumn="0" w:lastColumn="0" w:oddVBand="0" w:evenVBand="0" w:oddHBand="0" w:evenHBand="0" w:firstRowFirstColumn="0" w:firstRowLastColumn="0" w:lastRowFirstColumn="0" w:lastRowLastColumn="0"/>
            </w:pPr>
            <w:r w:rsidRPr="00A62150">
              <w:rPr>
                <w:rFonts w:eastAsia="Times New Roman" w:cs="Arial"/>
                <w:bCs/>
                <w:sz w:val="24"/>
                <w:szCs w:val="24"/>
              </w:rPr>
              <w:t>Specified Child and Family Learning Centre</w:t>
            </w:r>
          </w:p>
        </w:tc>
      </w:tr>
      <w:tr w:rsidR="007D64D9"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AF51446" w14:textId="1210B534" w:rsidR="007D64D9" w:rsidRPr="00B103A8" w:rsidRDefault="00BA08CF" w:rsidP="007D64D9">
            <w:pPr>
              <w:cnfStyle w:val="000000100000" w:firstRow="0" w:lastRow="0" w:firstColumn="0" w:lastColumn="0" w:oddVBand="0" w:evenVBand="0" w:oddHBand="1" w:evenHBand="0" w:firstRowFirstColumn="0" w:firstRowLastColumn="0" w:lastRowFirstColumn="0" w:lastRowLastColumn="0"/>
            </w:pPr>
            <w:r w:rsidRPr="00A62150">
              <w:rPr>
                <w:rFonts w:eastAsia="Times New Roman" w:cs="Arial"/>
                <w:bCs/>
                <w:sz w:val="24"/>
                <w:szCs w:val="24"/>
              </w:rPr>
              <w:t>N/A</w:t>
            </w:r>
          </w:p>
        </w:tc>
      </w:tr>
      <w:tr w:rsidR="001D3301"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1D3301" w:rsidRPr="006F6682" w:rsidRDefault="001D3301" w:rsidP="001D3301">
            <w:pPr>
              <w:rPr>
                <w:sz w:val="24"/>
                <w:szCs w:val="24"/>
              </w:rPr>
            </w:pPr>
            <w:r w:rsidRPr="006F6682">
              <w:rPr>
                <w:sz w:val="24"/>
                <w:szCs w:val="24"/>
              </w:rPr>
              <w:t>Supervisor</w:t>
            </w:r>
          </w:p>
        </w:tc>
        <w:tc>
          <w:tcPr>
            <w:tcW w:w="6458" w:type="dxa"/>
            <w:gridSpan w:val="2"/>
            <w:vAlign w:val="top"/>
          </w:tcPr>
          <w:p w14:paraId="2F473510" w14:textId="32DE06D9" w:rsidR="001D3301" w:rsidRPr="00B103A8" w:rsidRDefault="001D3301" w:rsidP="001D3301">
            <w:pPr>
              <w:cnfStyle w:val="000000000000" w:firstRow="0" w:lastRow="0" w:firstColumn="0" w:lastColumn="0" w:oddVBand="0" w:evenVBand="0" w:oddHBand="0" w:evenHBand="0" w:firstRowFirstColumn="0" w:firstRowLastColumn="0" w:lastRowFirstColumn="0" w:lastRowLastColumn="0"/>
            </w:pPr>
            <w:r w:rsidRPr="00A62150">
              <w:rPr>
                <w:rFonts w:eastAsia="Times New Roman" w:cs="Arial"/>
                <w:bCs/>
                <w:sz w:val="24"/>
                <w:szCs w:val="24"/>
              </w:rPr>
              <w:t>Centre Leader, Child and Family Learning Centre</w:t>
            </w:r>
          </w:p>
        </w:tc>
      </w:tr>
      <w:tr w:rsidR="00621590"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621590" w:rsidRPr="006F6682" w:rsidRDefault="00621590" w:rsidP="00621590">
            <w:pPr>
              <w:rPr>
                <w:sz w:val="24"/>
                <w:szCs w:val="24"/>
              </w:rPr>
            </w:pPr>
            <w:r w:rsidRPr="006F6682">
              <w:rPr>
                <w:sz w:val="24"/>
                <w:szCs w:val="24"/>
              </w:rPr>
              <w:t>Award/Agreement</w:t>
            </w:r>
          </w:p>
        </w:tc>
        <w:tc>
          <w:tcPr>
            <w:tcW w:w="6458" w:type="dxa"/>
            <w:gridSpan w:val="2"/>
            <w:vAlign w:val="top"/>
          </w:tcPr>
          <w:p w14:paraId="3E694C01" w14:textId="619A64C3" w:rsidR="00621590" w:rsidRPr="00B103A8" w:rsidRDefault="00621590" w:rsidP="00621590">
            <w:pPr>
              <w:cnfStyle w:val="000000100000" w:firstRow="0" w:lastRow="0" w:firstColumn="0" w:lastColumn="0" w:oddVBand="0" w:evenVBand="0" w:oddHBand="1" w:evenHBand="0" w:firstRowFirstColumn="0" w:firstRowLastColumn="0" w:lastRowFirstColumn="0" w:lastRowLastColumn="0"/>
            </w:pPr>
            <w:r w:rsidRPr="00A62150">
              <w:rPr>
                <w:rFonts w:eastAsia="Times New Roman" w:cs="Arial"/>
                <w:bCs/>
                <w:sz w:val="24"/>
                <w:szCs w:val="24"/>
              </w:rPr>
              <w:t>Teaching Service (Tasmanian Public Sector) Award</w:t>
            </w:r>
          </w:p>
        </w:tc>
      </w:tr>
      <w:tr w:rsidR="00621590"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621590" w:rsidRPr="006F6682" w:rsidRDefault="00621590" w:rsidP="00621590">
            <w:pPr>
              <w:rPr>
                <w:b w:val="0"/>
                <w:sz w:val="24"/>
                <w:szCs w:val="24"/>
              </w:rPr>
            </w:pPr>
            <w:r w:rsidRPr="006F6682">
              <w:rPr>
                <w:sz w:val="24"/>
                <w:szCs w:val="24"/>
              </w:rPr>
              <w:t>Classification</w:t>
            </w:r>
          </w:p>
        </w:tc>
        <w:tc>
          <w:tcPr>
            <w:tcW w:w="6458" w:type="dxa"/>
            <w:gridSpan w:val="2"/>
            <w:vAlign w:val="top"/>
          </w:tcPr>
          <w:p w14:paraId="40BA5B5D" w14:textId="271B4B09" w:rsidR="00621590" w:rsidRPr="00B103A8" w:rsidRDefault="003F66CB" w:rsidP="00621590">
            <w:pPr>
              <w:cnfStyle w:val="000000000000" w:firstRow="0" w:lastRow="0" w:firstColumn="0" w:lastColumn="0" w:oddVBand="0" w:evenVBand="0" w:oddHBand="0" w:evenHBand="0" w:firstRowFirstColumn="0" w:firstRowLastColumn="0" w:lastRowFirstColumn="0" w:lastRowLastColumn="0"/>
            </w:pPr>
            <w:r w:rsidRPr="00A62150">
              <w:rPr>
                <w:rFonts w:eastAsia="Times New Roman" w:cs="Arial"/>
                <w:bCs/>
                <w:sz w:val="24"/>
                <w:szCs w:val="24"/>
              </w:rPr>
              <w:t>Band 1, Level 1-13</w:t>
            </w:r>
          </w:p>
        </w:tc>
      </w:tr>
      <w:tr w:rsidR="00621590"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621590" w:rsidRPr="006F6682" w:rsidRDefault="00621590" w:rsidP="00621590">
            <w:pPr>
              <w:rPr>
                <w:b w:val="0"/>
                <w:sz w:val="24"/>
                <w:szCs w:val="24"/>
              </w:rPr>
            </w:pPr>
            <w:r w:rsidRPr="006F6682">
              <w:rPr>
                <w:sz w:val="24"/>
                <w:szCs w:val="24"/>
              </w:rPr>
              <w:t>Employment Conditions</w:t>
            </w:r>
          </w:p>
        </w:tc>
        <w:tc>
          <w:tcPr>
            <w:tcW w:w="6458" w:type="dxa"/>
            <w:gridSpan w:val="2"/>
            <w:vAlign w:val="top"/>
          </w:tcPr>
          <w:p w14:paraId="7AD6A1BD" w14:textId="3E133AE7" w:rsidR="00621590" w:rsidRPr="00B103A8" w:rsidRDefault="00AC5748" w:rsidP="00621590">
            <w:pPr>
              <w:cnfStyle w:val="000000100000" w:firstRow="0" w:lastRow="0" w:firstColumn="0" w:lastColumn="0" w:oddVBand="0" w:evenVBand="0" w:oddHBand="1" w:evenHBand="0" w:firstRowFirstColumn="0" w:firstRowLastColumn="0" w:lastRowFirstColumn="0" w:lastRowLastColumn="0"/>
            </w:pPr>
            <w:r w:rsidRPr="00A62150">
              <w:rPr>
                <w:bCs/>
                <w:sz w:val="24"/>
                <w:szCs w:val="24"/>
              </w:rPr>
              <w:t>Permanent or fixed-term, full or part-time, up to 73.5 hours per fortnight, up to 52 weeks per year including 4 weeks annual leave, non-school conditions.</w:t>
            </w:r>
          </w:p>
        </w:tc>
      </w:tr>
      <w:tr w:rsidR="00621590"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621590" w:rsidRPr="006F6682" w:rsidRDefault="00621590" w:rsidP="00621590">
            <w:pPr>
              <w:rPr>
                <w:b w:val="0"/>
                <w:sz w:val="24"/>
                <w:szCs w:val="24"/>
              </w:rPr>
            </w:pPr>
            <w:r w:rsidRPr="006F6682">
              <w:rPr>
                <w:sz w:val="24"/>
                <w:szCs w:val="24"/>
              </w:rPr>
              <w:t>Location</w:t>
            </w:r>
          </w:p>
        </w:tc>
        <w:tc>
          <w:tcPr>
            <w:tcW w:w="6458" w:type="dxa"/>
            <w:gridSpan w:val="2"/>
            <w:vAlign w:val="top"/>
          </w:tcPr>
          <w:p w14:paraId="032570CD" w14:textId="4B64DCFA" w:rsidR="00621590" w:rsidRPr="00B103A8" w:rsidRDefault="00EC1477" w:rsidP="00621590">
            <w:pPr>
              <w:cnfStyle w:val="000000000000" w:firstRow="0" w:lastRow="0" w:firstColumn="0" w:lastColumn="0" w:oddVBand="0" w:evenVBand="0" w:oddHBand="0" w:evenHBand="0" w:firstRowFirstColumn="0" w:firstRowLastColumn="0" w:lastRowFirstColumn="0" w:lastRowLastColumn="0"/>
            </w:pPr>
            <w:r w:rsidRPr="00A62150">
              <w:rPr>
                <w:rFonts w:eastAsia="Times New Roman"/>
                <w:sz w:val="24"/>
                <w:szCs w:val="24"/>
              </w:rPr>
              <w:t>As specified</w:t>
            </w:r>
          </w:p>
        </w:tc>
      </w:tr>
      <w:tr w:rsidR="00621590" w14:paraId="5C4E8C4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0328A29" w14:textId="7A535E78" w:rsidR="00621590" w:rsidRPr="006F6682" w:rsidRDefault="00621590" w:rsidP="00621590">
            <w:pPr>
              <w:rPr>
                <w:sz w:val="24"/>
                <w:szCs w:val="24"/>
              </w:rPr>
            </w:pPr>
            <w:r w:rsidRPr="006F6682">
              <w:rPr>
                <w:sz w:val="24"/>
                <w:szCs w:val="24"/>
              </w:rPr>
              <w:t>Check Type</w:t>
            </w:r>
          </w:p>
        </w:tc>
        <w:tc>
          <w:tcPr>
            <w:tcW w:w="6458" w:type="dxa"/>
            <w:gridSpan w:val="2"/>
            <w:vAlign w:val="top"/>
          </w:tcPr>
          <w:p w14:paraId="1DEB05E9" w14:textId="5CD06AD1" w:rsidR="00621590" w:rsidRPr="00B103A8" w:rsidRDefault="00282C9E" w:rsidP="00621590">
            <w:pPr>
              <w:cnfStyle w:val="000000100000" w:firstRow="0" w:lastRow="0" w:firstColumn="0" w:lastColumn="0" w:oddVBand="0" w:evenVBand="0" w:oddHBand="1" w:evenHBand="0" w:firstRowFirstColumn="0" w:firstRowLastColumn="0" w:lastRowFirstColumn="0" w:lastRowLastColumn="0"/>
            </w:pPr>
            <w:r w:rsidRPr="00A62150">
              <w:rPr>
                <w:rFonts w:eastAsia="Times New Roman"/>
                <w:sz w:val="24"/>
                <w:szCs w:val="24"/>
              </w:rPr>
              <w:t>N/A</w:t>
            </w:r>
          </w:p>
        </w:tc>
      </w:tr>
      <w:tr w:rsidR="00621590" w14:paraId="78087E14"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C67F7A0" w14:textId="2990E227" w:rsidR="00621590" w:rsidRPr="006F6682" w:rsidRDefault="00621590" w:rsidP="00621590">
            <w:pPr>
              <w:rPr>
                <w:sz w:val="24"/>
                <w:szCs w:val="24"/>
              </w:rPr>
            </w:pPr>
            <w:r w:rsidRPr="006F6682">
              <w:rPr>
                <w:sz w:val="24"/>
                <w:szCs w:val="24"/>
              </w:rPr>
              <w:t>Check Frequency</w:t>
            </w:r>
          </w:p>
        </w:tc>
        <w:tc>
          <w:tcPr>
            <w:tcW w:w="6458" w:type="dxa"/>
            <w:gridSpan w:val="2"/>
            <w:vAlign w:val="top"/>
          </w:tcPr>
          <w:p w14:paraId="4B9396AE" w14:textId="33D8F0C0" w:rsidR="00621590" w:rsidRPr="00B103A8" w:rsidRDefault="00282C9E" w:rsidP="00621590">
            <w:pPr>
              <w:cnfStyle w:val="000000000000" w:firstRow="0" w:lastRow="0" w:firstColumn="0" w:lastColumn="0" w:oddVBand="0" w:evenVBand="0" w:oddHBand="0" w:evenHBand="0" w:firstRowFirstColumn="0" w:firstRowLastColumn="0" w:lastRowFirstColumn="0" w:lastRowLastColumn="0"/>
            </w:pPr>
            <w:r w:rsidRPr="00A62150">
              <w:rPr>
                <w:rFonts w:eastAsia="Times New Roman"/>
                <w:sz w:val="24"/>
                <w:szCs w:val="24"/>
              </w:rPr>
              <w:t>N/A</w:t>
            </w:r>
          </w:p>
        </w:tc>
      </w:tr>
    </w:tbl>
    <w:p w14:paraId="45FC4D4C" w14:textId="60A5CF8D" w:rsidR="00360CDB" w:rsidRPr="00190B67" w:rsidRDefault="005F3B0F" w:rsidP="00360CDB">
      <w:pPr>
        <w:pStyle w:val="Heading2"/>
        <w:rPr>
          <w:color w:val="011947"/>
        </w:rPr>
      </w:pPr>
      <w:r w:rsidRPr="00190B67">
        <w:rPr>
          <w:color w:val="011947"/>
        </w:rPr>
        <w:t>Primary Purpose</w:t>
      </w:r>
    </w:p>
    <w:p w14:paraId="492F5C44" w14:textId="77777777" w:rsidR="001755B3" w:rsidRPr="00A62150" w:rsidRDefault="001755B3" w:rsidP="001755B3">
      <w:pPr>
        <w:jc w:val="both"/>
        <w:rPr>
          <w:rFonts w:eastAsia="Times New Roman" w:cs="Arial"/>
          <w:sz w:val="24"/>
          <w:szCs w:val="24"/>
        </w:rPr>
      </w:pPr>
      <w:r w:rsidRPr="00A62150">
        <w:rPr>
          <w:rFonts w:eastAsia="Times New Roman" w:cs="Arial"/>
          <w:sz w:val="24"/>
          <w:szCs w:val="24"/>
        </w:rPr>
        <w:t xml:space="preserve">To develop, implement and manage appropriate educational opportunities and quality early learning environments, to achieve learning and developmental outcomes. To assess individual progress for children aged birth to five through observation, intervention, and modelling. To guide, lead and assist in the formulation of CFLC </w:t>
      </w:r>
      <w:proofErr w:type="gramStart"/>
      <w:r w:rsidRPr="00A62150">
        <w:rPr>
          <w:rFonts w:eastAsia="Times New Roman" w:cs="Arial"/>
          <w:sz w:val="24"/>
          <w:szCs w:val="24"/>
        </w:rPr>
        <w:t>programs;</w:t>
      </w:r>
      <w:proofErr w:type="gramEnd"/>
      <w:r w:rsidRPr="00A62150">
        <w:rPr>
          <w:rFonts w:eastAsia="Times New Roman" w:cs="Arial"/>
          <w:sz w:val="24"/>
          <w:szCs w:val="24"/>
        </w:rPr>
        <w:t xml:space="preserve"> aligning these with the Early Years Learning Framework.  To liaise with, and collaborate where appropriate, with schools and the early years teaching teams to provide strong continuity of educational provision for successful transitions to school. </w:t>
      </w:r>
    </w:p>
    <w:p w14:paraId="3498A638" w14:textId="5D5D5185" w:rsidR="00360CDB" w:rsidRPr="00190B67" w:rsidRDefault="00360CDB" w:rsidP="00A40EA2">
      <w:pPr>
        <w:pStyle w:val="Heading2"/>
        <w:spacing w:before="2280"/>
        <w:rPr>
          <w:color w:val="011947"/>
        </w:rPr>
      </w:pPr>
      <w:r w:rsidRPr="00190B67">
        <w:rPr>
          <w:color w:val="011947"/>
        </w:rPr>
        <w:lastRenderedPageBreak/>
        <w:t>Level of Responsibility/Direction and Supervision</w:t>
      </w:r>
    </w:p>
    <w:p w14:paraId="0955A746" w14:textId="77777777" w:rsidR="00A40EA2" w:rsidRPr="00A62150" w:rsidRDefault="00A40EA2" w:rsidP="00A40EA2">
      <w:pPr>
        <w:jc w:val="both"/>
        <w:rPr>
          <w:rFonts w:eastAsia="Times New Roman"/>
          <w:sz w:val="24"/>
          <w:szCs w:val="20"/>
        </w:rPr>
      </w:pPr>
      <w:bookmarkStart w:id="1" w:name="_Hlk127543251"/>
      <w:r w:rsidRPr="00A62150">
        <w:rPr>
          <w:rFonts w:eastAsia="Times New Roman"/>
          <w:sz w:val="24"/>
          <w:szCs w:val="20"/>
        </w:rPr>
        <w:t>Responsible for the successful development and implementation of activities, processes, and strategies according to the departmental and CFLC frameworks. The occupant is responsible for completion of assigned duties and associated child and family activities undertaken at the Centre, and active contribution to overall improvement of centre quality. Receives broad direction, guidance, and supervision from the Centre Leader.</w:t>
      </w:r>
    </w:p>
    <w:p w14:paraId="2B0F4C18" w14:textId="4A342FA5" w:rsidR="00360CDB" w:rsidRPr="002942F8" w:rsidRDefault="00360CDB" w:rsidP="00360CDB">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2348439D" w:rsidR="008E1563" w:rsidRPr="00190B67" w:rsidRDefault="00360CDB" w:rsidP="008E1563">
      <w:pPr>
        <w:pStyle w:val="Heading2"/>
        <w:rPr>
          <w:color w:val="011947"/>
        </w:rPr>
      </w:pPr>
      <w:r w:rsidRPr="00190B67">
        <w:rPr>
          <w:color w:val="011947"/>
        </w:rPr>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E6E8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18191834" w14:textId="77777777" w:rsidR="007074FC" w:rsidRPr="00A62150" w:rsidRDefault="007074FC" w:rsidP="007074FC">
      <w:pPr>
        <w:pStyle w:val="ListParagraph"/>
        <w:numPr>
          <w:ilvl w:val="0"/>
          <w:numId w:val="40"/>
        </w:numPr>
        <w:jc w:val="both"/>
        <w:rPr>
          <w:color w:val="323E4F" w:themeColor="text2" w:themeShade="BF"/>
          <w:sz w:val="24"/>
          <w:szCs w:val="24"/>
        </w:rPr>
      </w:pPr>
      <w:r w:rsidRPr="00A62150">
        <w:rPr>
          <w:color w:val="323E4F" w:themeColor="text2" w:themeShade="BF"/>
          <w:sz w:val="24"/>
          <w:szCs w:val="24"/>
        </w:rPr>
        <w:t>Undertake a range of learning and assessment activities for children as directed, including:</w:t>
      </w:r>
    </w:p>
    <w:p w14:paraId="15C24E32" w14:textId="77777777" w:rsidR="007074FC" w:rsidRPr="00A62150" w:rsidRDefault="007074FC" w:rsidP="007074FC">
      <w:pPr>
        <w:pStyle w:val="ListParagraph"/>
        <w:numPr>
          <w:ilvl w:val="1"/>
          <w:numId w:val="46"/>
        </w:numPr>
        <w:jc w:val="both"/>
        <w:rPr>
          <w:color w:val="323E4F" w:themeColor="text2" w:themeShade="BF"/>
          <w:sz w:val="24"/>
          <w:szCs w:val="24"/>
        </w:rPr>
      </w:pPr>
      <w:r w:rsidRPr="00A62150">
        <w:rPr>
          <w:color w:val="323E4F" w:themeColor="text2" w:themeShade="BF"/>
          <w:sz w:val="24"/>
          <w:szCs w:val="24"/>
        </w:rPr>
        <w:t xml:space="preserve">Promoting the health and wellbeing of student and families </w:t>
      </w:r>
    </w:p>
    <w:p w14:paraId="5A3E9CB2" w14:textId="77777777" w:rsidR="007074FC" w:rsidRPr="00A62150" w:rsidRDefault="007074FC" w:rsidP="007074FC">
      <w:pPr>
        <w:pStyle w:val="ListParagraph"/>
        <w:numPr>
          <w:ilvl w:val="1"/>
          <w:numId w:val="46"/>
        </w:numPr>
        <w:jc w:val="both"/>
        <w:rPr>
          <w:color w:val="323E4F" w:themeColor="text2" w:themeShade="BF"/>
          <w:sz w:val="24"/>
          <w:szCs w:val="24"/>
        </w:rPr>
      </w:pPr>
      <w:r w:rsidRPr="00A62150">
        <w:rPr>
          <w:color w:val="323E4F" w:themeColor="text2" w:themeShade="BF"/>
          <w:sz w:val="24"/>
          <w:szCs w:val="24"/>
        </w:rPr>
        <w:t>maintaining a respectful and inclusive learning environment for children and adults, application of suitable behaviour management strategies for children; and</w:t>
      </w:r>
    </w:p>
    <w:p w14:paraId="2F0E2BE9" w14:textId="77777777" w:rsidR="007074FC" w:rsidRPr="00A62150" w:rsidRDefault="007074FC" w:rsidP="007074FC">
      <w:pPr>
        <w:pStyle w:val="ListParagraph"/>
        <w:numPr>
          <w:ilvl w:val="1"/>
          <w:numId w:val="46"/>
        </w:numPr>
        <w:jc w:val="both"/>
        <w:rPr>
          <w:color w:val="323E4F" w:themeColor="text2" w:themeShade="BF"/>
          <w:sz w:val="24"/>
          <w:szCs w:val="24"/>
        </w:rPr>
      </w:pPr>
      <w:r w:rsidRPr="00A62150">
        <w:rPr>
          <w:color w:val="323E4F" w:themeColor="text2" w:themeShade="BF"/>
          <w:sz w:val="24"/>
          <w:szCs w:val="24"/>
        </w:rPr>
        <w:t>appropriate use of relevant and age-appropriate learning resources.</w:t>
      </w:r>
    </w:p>
    <w:p w14:paraId="33C6B99B" w14:textId="77777777" w:rsidR="00BF1682" w:rsidRPr="00A62150" w:rsidRDefault="00BF1682" w:rsidP="00BF1682">
      <w:pPr>
        <w:pStyle w:val="ListParagraph"/>
        <w:numPr>
          <w:ilvl w:val="0"/>
          <w:numId w:val="40"/>
        </w:numPr>
        <w:jc w:val="both"/>
        <w:rPr>
          <w:color w:val="323E4F" w:themeColor="text2" w:themeShade="BF"/>
          <w:sz w:val="24"/>
          <w:szCs w:val="24"/>
        </w:rPr>
      </w:pPr>
      <w:r w:rsidRPr="00A62150">
        <w:rPr>
          <w:color w:val="323E4F" w:themeColor="text2" w:themeShade="BF"/>
          <w:sz w:val="24"/>
          <w:szCs w:val="24"/>
        </w:rPr>
        <w:t>Prepare and implement appropriate learning opportunities, including assessing outcomes of activities and where needed, adjust program design.</w:t>
      </w:r>
    </w:p>
    <w:p w14:paraId="444CC408" w14:textId="77777777" w:rsidR="00655C82" w:rsidRPr="00A62150" w:rsidRDefault="00655C82" w:rsidP="00655C82">
      <w:pPr>
        <w:pStyle w:val="ListParagraph"/>
        <w:numPr>
          <w:ilvl w:val="0"/>
          <w:numId w:val="40"/>
        </w:numPr>
        <w:jc w:val="both"/>
        <w:rPr>
          <w:color w:val="323E4F" w:themeColor="text2" w:themeShade="BF"/>
          <w:sz w:val="24"/>
          <w:szCs w:val="24"/>
        </w:rPr>
      </w:pPr>
      <w:r w:rsidRPr="00A62150">
        <w:rPr>
          <w:color w:val="323E4F" w:themeColor="text2" w:themeShade="BF"/>
          <w:sz w:val="24"/>
          <w:szCs w:val="24"/>
        </w:rPr>
        <w:t>Participate as a member of the CFLC team and contribute to general centre activities, including the development, implementation, and evaluation of the Departmental strategic, operational and improvement plans.</w:t>
      </w:r>
    </w:p>
    <w:p w14:paraId="051BF643" w14:textId="77777777" w:rsidR="00D97BBB" w:rsidRPr="00A62150" w:rsidRDefault="00D97BBB" w:rsidP="00D97BBB">
      <w:pPr>
        <w:pStyle w:val="ListParagraph"/>
        <w:numPr>
          <w:ilvl w:val="0"/>
          <w:numId w:val="40"/>
        </w:numPr>
        <w:jc w:val="both"/>
        <w:rPr>
          <w:color w:val="323E4F" w:themeColor="text2" w:themeShade="BF"/>
          <w:sz w:val="24"/>
          <w:szCs w:val="24"/>
        </w:rPr>
      </w:pPr>
      <w:r w:rsidRPr="00A62150">
        <w:rPr>
          <w:color w:val="323E4F" w:themeColor="text2" w:themeShade="BF"/>
          <w:sz w:val="24"/>
          <w:szCs w:val="24"/>
        </w:rPr>
        <w:t>Develop and implement flexible teaching and learning strategies and processes to embed the elements of the Early Years Framework, tailored to the needs of individual children.</w:t>
      </w:r>
    </w:p>
    <w:p w14:paraId="286673B2" w14:textId="77777777" w:rsidR="00767B51" w:rsidRPr="00A62150" w:rsidRDefault="00767B51" w:rsidP="00767B51">
      <w:pPr>
        <w:pStyle w:val="ListParagraph"/>
        <w:numPr>
          <w:ilvl w:val="0"/>
          <w:numId w:val="40"/>
        </w:numPr>
        <w:jc w:val="both"/>
        <w:rPr>
          <w:color w:val="323E4F" w:themeColor="text2" w:themeShade="BF"/>
          <w:sz w:val="24"/>
          <w:szCs w:val="24"/>
        </w:rPr>
      </w:pPr>
      <w:r w:rsidRPr="00A62150">
        <w:rPr>
          <w:bCs/>
          <w:color w:val="323E4F" w:themeColor="text2" w:themeShade="BF"/>
          <w:sz w:val="24"/>
          <w:szCs w:val="24"/>
        </w:rPr>
        <w:t>Liaise and consult with a wide range of stakeholders and working groups, including staff, parents and children, schools, government and non-government organisations, departmental Learning Services, community associations, bodies, and representatives.</w:t>
      </w:r>
    </w:p>
    <w:p w14:paraId="3F5DAE81" w14:textId="77777777" w:rsidR="000E1E76" w:rsidRPr="00A62150" w:rsidRDefault="000E1E76" w:rsidP="000E1E76">
      <w:pPr>
        <w:pStyle w:val="ListParagraph"/>
        <w:numPr>
          <w:ilvl w:val="0"/>
          <w:numId w:val="40"/>
        </w:numPr>
        <w:jc w:val="both"/>
        <w:rPr>
          <w:bCs/>
          <w:color w:val="323E4F" w:themeColor="text2" w:themeShade="BF"/>
          <w:sz w:val="24"/>
          <w:szCs w:val="24"/>
        </w:rPr>
      </w:pPr>
      <w:r w:rsidRPr="00A62150">
        <w:rPr>
          <w:color w:val="323E4F" w:themeColor="text2" w:themeShade="BF"/>
          <w:sz w:val="24"/>
          <w:szCs w:val="24"/>
        </w:rPr>
        <w:t xml:space="preserve">Provide relevant advice, information and referral pathways to parents or guardians to support </w:t>
      </w:r>
      <w:r w:rsidRPr="00A62150">
        <w:rPr>
          <w:bCs/>
          <w:color w:val="323E4F" w:themeColor="text2" w:themeShade="BF"/>
          <w:sz w:val="24"/>
          <w:szCs w:val="24"/>
        </w:rPr>
        <w:t xml:space="preserve">child learning and development. </w:t>
      </w:r>
    </w:p>
    <w:p w14:paraId="3E223645" w14:textId="77777777" w:rsidR="00134F65" w:rsidRPr="00A62150" w:rsidRDefault="00134F65" w:rsidP="00134F65">
      <w:pPr>
        <w:pStyle w:val="ListParagraph"/>
        <w:numPr>
          <w:ilvl w:val="0"/>
          <w:numId w:val="40"/>
        </w:numPr>
        <w:jc w:val="both"/>
        <w:rPr>
          <w:color w:val="323E4F" w:themeColor="text2" w:themeShade="BF"/>
          <w:sz w:val="24"/>
          <w:szCs w:val="24"/>
        </w:rPr>
      </w:pPr>
      <w:r w:rsidRPr="00A62150">
        <w:rPr>
          <w:bCs/>
          <w:color w:val="323E4F" w:themeColor="text2" w:themeShade="BF"/>
          <w:sz w:val="24"/>
          <w:szCs w:val="24"/>
        </w:rPr>
        <w:t>Participate in personal professional development and ass</w:t>
      </w:r>
      <w:r>
        <w:rPr>
          <w:bCs/>
          <w:color w:val="323E4F" w:themeColor="text2" w:themeShade="BF"/>
          <w:sz w:val="24"/>
          <w:szCs w:val="24"/>
        </w:rPr>
        <w:t xml:space="preserve">ist </w:t>
      </w:r>
      <w:r w:rsidRPr="00A62150">
        <w:rPr>
          <w:bCs/>
          <w:color w:val="323E4F" w:themeColor="text2" w:themeShade="BF"/>
          <w:sz w:val="24"/>
          <w:szCs w:val="24"/>
        </w:rPr>
        <w:t>the Centre Leader to support the CFLC staff/services to build a strong understanding of educational practice in the early years.</w:t>
      </w:r>
    </w:p>
    <w:p w14:paraId="57B02D5F" w14:textId="77777777" w:rsidR="00BC41E1" w:rsidRPr="003A0A35" w:rsidRDefault="00BC41E1" w:rsidP="00BC41E1">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BC41E1">
      <w:pPr>
        <w:pStyle w:val="Heading2"/>
        <w:spacing w:before="840"/>
        <w:rPr>
          <w:color w:val="011947"/>
        </w:rPr>
      </w:pPr>
      <w:r w:rsidRPr="00190B67">
        <w:rPr>
          <w:color w:val="011947"/>
        </w:rPr>
        <w:lastRenderedPageBreak/>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5A722101"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46698B50" w14:textId="77777777" w:rsidR="002B1F2F" w:rsidRPr="00DC2453" w:rsidRDefault="002B1F2F" w:rsidP="002B1F2F">
      <w:pPr>
        <w:pStyle w:val="ListParagraph"/>
        <w:numPr>
          <w:ilvl w:val="0"/>
          <w:numId w:val="42"/>
        </w:numPr>
        <w:jc w:val="both"/>
        <w:rPr>
          <w:sz w:val="24"/>
          <w:szCs w:val="24"/>
        </w:rPr>
      </w:pPr>
      <w:r w:rsidRPr="00DC2453">
        <w:rPr>
          <w:sz w:val="24"/>
          <w:szCs w:val="24"/>
        </w:rPr>
        <w:t xml:space="preserve">Evidence of well-developed and current knowledge of early childhood development, curriculum content and teaching methodologies. </w:t>
      </w:r>
    </w:p>
    <w:p w14:paraId="2C01329C" w14:textId="77777777" w:rsidR="00FB0399" w:rsidRPr="00DC2453" w:rsidRDefault="00FB0399" w:rsidP="00FB0399">
      <w:pPr>
        <w:pStyle w:val="ListParagraph"/>
        <w:numPr>
          <w:ilvl w:val="0"/>
          <w:numId w:val="42"/>
        </w:numPr>
        <w:jc w:val="both"/>
        <w:rPr>
          <w:sz w:val="24"/>
          <w:szCs w:val="24"/>
        </w:rPr>
      </w:pPr>
      <w:r w:rsidRPr="00DC2453">
        <w:rPr>
          <w:sz w:val="24"/>
          <w:szCs w:val="24"/>
        </w:rPr>
        <w:t>Demonstrated interpersonal and communication skills with children, parents, and peers.</w:t>
      </w:r>
    </w:p>
    <w:p w14:paraId="715E2F1F" w14:textId="77777777" w:rsidR="0012105D" w:rsidRPr="00DC2453" w:rsidRDefault="0012105D" w:rsidP="0012105D">
      <w:pPr>
        <w:pStyle w:val="ListParagraph"/>
        <w:numPr>
          <w:ilvl w:val="0"/>
          <w:numId w:val="42"/>
        </w:numPr>
        <w:jc w:val="both"/>
        <w:rPr>
          <w:sz w:val="24"/>
          <w:szCs w:val="24"/>
        </w:rPr>
      </w:pPr>
      <w:r w:rsidRPr="00DC2453">
        <w:rPr>
          <w:sz w:val="24"/>
          <w:szCs w:val="24"/>
        </w:rPr>
        <w:t>Demonstrated skills of flexibility, adaptability as well as a high degree of motivation and a commitment to collaborative working partnerships.</w:t>
      </w:r>
    </w:p>
    <w:p w14:paraId="039E934B" w14:textId="77777777" w:rsidR="00E34C3D" w:rsidRPr="00DC2453" w:rsidRDefault="00E34C3D" w:rsidP="00E34C3D">
      <w:pPr>
        <w:pStyle w:val="ListParagraph"/>
        <w:numPr>
          <w:ilvl w:val="0"/>
          <w:numId w:val="42"/>
        </w:numPr>
        <w:jc w:val="both"/>
        <w:rPr>
          <w:sz w:val="24"/>
          <w:szCs w:val="24"/>
        </w:rPr>
      </w:pPr>
      <w:r w:rsidRPr="00DC2453">
        <w:rPr>
          <w:sz w:val="24"/>
          <w:szCs w:val="24"/>
        </w:rPr>
        <w:t>Commitment to the principles of equal opportunity in education for all children and families.</w:t>
      </w:r>
    </w:p>
    <w:p w14:paraId="583BACA4" w14:textId="77777777" w:rsidR="00986116" w:rsidRPr="00DC2453" w:rsidRDefault="00986116" w:rsidP="00986116">
      <w:pPr>
        <w:pStyle w:val="ListParagraph"/>
        <w:numPr>
          <w:ilvl w:val="0"/>
          <w:numId w:val="42"/>
        </w:numPr>
        <w:jc w:val="both"/>
        <w:rPr>
          <w:sz w:val="24"/>
          <w:szCs w:val="24"/>
        </w:rPr>
      </w:pPr>
      <w:r w:rsidRPr="00DC2453">
        <w:rPr>
          <w:sz w:val="24"/>
          <w:szCs w:val="24"/>
        </w:rPr>
        <w:t>Understanding of, and ability to, effectively implement operational policies and procedures as part of an integrated team.</w:t>
      </w:r>
    </w:p>
    <w:p w14:paraId="60FA1A41" w14:textId="77777777" w:rsidR="006F22C4" w:rsidRPr="00DC2453" w:rsidRDefault="006F22C4" w:rsidP="006F22C4">
      <w:pPr>
        <w:pStyle w:val="ListParagraph"/>
        <w:numPr>
          <w:ilvl w:val="0"/>
          <w:numId w:val="42"/>
        </w:numPr>
        <w:jc w:val="both"/>
        <w:rPr>
          <w:sz w:val="24"/>
          <w:szCs w:val="24"/>
        </w:rPr>
      </w:pPr>
      <w:r w:rsidRPr="00DC2453">
        <w:rPr>
          <w:sz w:val="24"/>
          <w:szCs w:val="24"/>
        </w:rPr>
        <w:t>High level oral and written communication, and interpersonal skills.</w:t>
      </w:r>
    </w:p>
    <w:p w14:paraId="54530A69" w14:textId="0D2FBD3B" w:rsidR="005C2DA4" w:rsidRPr="00DC2453" w:rsidRDefault="005C2DA4" w:rsidP="005C2DA4">
      <w:pPr>
        <w:pStyle w:val="ListParagraph"/>
        <w:numPr>
          <w:ilvl w:val="0"/>
          <w:numId w:val="42"/>
        </w:numPr>
        <w:jc w:val="both"/>
        <w:rPr>
          <w:sz w:val="24"/>
          <w:szCs w:val="24"/>
        </w:rPr>
      </w:pPr>
      <w:r w:rsidRPr="00DC2453">
        <w:rPr>
          <w:sz w:val="24"/>
          <w:szCs w:val="24"/>
        </w:rPr>
        <w:t>Highly developed time management and organisational skills, and the ability to manage competing priorities</w:t>
      </w:r>
      <w:r>
        <w:rPr>
          <w:sz w:val="24"/>
          <w:szCs w:val="24"/>
        </w:rPr>
        <w:t>.</w:t>
      </w:r>
    </w:p>
    <w:p w14:paraId="115BCC76" w14:textId="3934D8F5" w:rsidR="00360CDB" w:rsidRPr="00190B67" w:rsidRDefault="00360CDB" w:rsidP="00360CDB">
      <w:pPr>
        <w:pStyle w:val="Heading2"/>
        <w:rPr>
          <w:color w:val="011947"/>
        </w:rPr>
      </w:pPr>
      <w:r w:rsidRPr="00190B67">
        <w:rPr>
          <w:color w:val="011947"/>
        </w:rPr>
        <w:t>Requirements</w:t>
      </w:r>
    </w:p>
    <w:p w14:paraId="00609D39" w14:textId="77777777" w:rsidR="00653BB7" w:rsidRPr="00370004" w:rsidRDefault="00653BB7" w:rsidP="005C2DA4">
      <w:pPr>
        <w:spacing w:after="2040"/>
        <w:jc w:val="both"/>
        <w:rPr>
          <w:rFonts w:eastAsia="Times New Roman" w:cs="Arial"/>
          <w:bCs/>
          <w:sz w:val="24"/>
          <w:szCs w:val="24"/>
        </w:rPr>
      </w:pPr>
      <w:bookmarkStart w:id="2" w:name="_Hlk119596995"/>
      <w:r w:rsidRPr="00370004">
        <w:rPr>
          <w:rFonts w:eastAsia="Times New Roman" w:cs="Arial"/>
          <w:bCs/>
          <w:sz w:val="24"/>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2"/>
          <w:p w14:paraId="0F7F1D3A" w14:textId="77777777" w:rsidR="00E432FB" w:rsidRDefault="004E5DAC" w:rsidP="00E432FB">
            <w:pPr>
              <w:rPr>
                <w:b/>
                <w:sz w:val="24"/>
                <w:szCs w:val="24"/>
              </w:rPr>
            </w:pPr>
            <w:r w:rsidRPr="00A65F3B">
              <w:rPr>
                <w:b/>
                <w:sz w:val="24"/>
                <w:szCs w:val="24"/>
              </w:rPr>
              <w:lastRenderedPageBreak/>
              <w:t>Essential</w:t>
            </w:r>
          </w:p>
          <w:p w14:paraId="6775FCED" w14:textId="69F4ABDB" w:rsidR="006373A0" w:rsidRPr="006373A0" w:rsidRDefault="006373A0" w:rsidP="006373A0">
            <w:pPr>
              <w:rPr>
                <w:sz w:val="24"/>
                <w:szCs w:val="24"/>
              </w:rPr>
            </w:pP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14:paraId="0EA3D841" w14:textId="77777777" w:rsidR="004B06B8" w:rsidRPr="0063261F" w:rsidRDefault="004B06B8" w:rsidP="00A573FF">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78605908" w14:textId="77777777" w:rsidR="00771B76" w:rsidRPr="00D729A2" w:rsidRDefault="00590E28" w:rsidP="00D729A2">
            <w:pPr>
              <w:numPr>
                <w:ilvl w:val="0"/>
                <w:numId w:val="32"/>
              </w:numPr>
              <w:spacing w:before="60" w:after="60"/>
              <w:ind w:left="168"/>
              <w:jc w:val="both"/>
              <w:rPr>
                <w:rFonts w:eastAsia="Times New Roman"/>
                <w:sz w:val="24"/>
                <w:szCs w:val="24"/>
              </w:rPr>
            </w:pPr>
            <w:r w:rsidRPr="00D729A2">
              <w:rPr>
                <w:rFonts w:eastAsia="Times New Roman"/>
                <w:sz w:val="24"/>
                <w:szCs w:val="24"/>
              </w:rPr>
              <w:t xml:space="preserve">Qualifications as established by the Tasmanian Industrial Commission in the Teaching Service (Tasmanian Public Sector) Award, 2005. </w:t>
            </w:r>
          </w:p>
          <w:p w14:paraId="6AA1D6C5" w14:textId="77777777" w:rsidR="00D729A2" w:rsidRPr="00DA2587" w:rsidRDefault="00D729A2" w:rsidP="00D729A2">
            <w:pPr>
              <w:numPr>
                <w:ilvl w:val="0"/>
                <w:numId w:val="32"/>
              </w:numPr>
              <w:spacing w:before="60" w:after="60"/>
              <w:ind w:left="168"/>
              <w:jc w:val="both"/>
              <w:rPr>
                <w:rFonts w:eastAsia="Times New Roman"/>
                <w:sz w:val="24"/>
                <w:szCs w:val="24"/>
              </w:rPr>
            </w:pPr>
            <w:r w:rsidRPr="00DA2587">
              <w:rPr>
                <w:rFonts w:eastAsia="Times New Roman"/>
                <w:sz w:val="24"/>
                <w:szCs w:val="24"/>
              </w:rPr>
              <w:t xml:space="preserve">Under the Teaching Service (Tasmanian Public Sector) </w:t>
            </w:r>
            <w:proofErr w:type="gramStart"/>
            <w:r w:rsidRPr="00DA2587">
              <w:rPr>
                <w:rFonts w:eastAsia="Times New Roman"/>
                <w:sz w:val="24"/>
                <w:szCs w:val="24"/>
              </w:rPr>
              <w:t>Award;</w:t>
            </w:r>
            <w:proofErr w:type="gramEnd"/>
          </w:p>
          <w:p w14:paraId="5DB92F63" w14:textId="77777777" w:rsidR="00D729A2" w:rsidRPr="00DA2587" w:rsidRDefault="00D729A2" w:rsidP="00D729A2">
            <w:pPr>
              <w:numPr>
                <w:ilvl w:val="1"/>
                <w:numId w:val="32"/>
              </w:numPr>
              <w:spacing w:before="0" w:after="0"/>
              <w:ind w:left="1040" w:hanging="364"/>
              <w:contextualSpacing/>
              <w:jc w:val="both"/>
              <w:rPr>
                <w:rFonts w:eastAsia="Calibri"/>
                <w:sz w:val="24"/>
                <w:szCs w:val="24"/>
              </w:rPr>
            </w:pPr>
            <w:r>
              <w:rPr>
                <w:rFonts w:eastAsia="Calibri"/>
                <w:sz w:val="24"/>
                <w:szCs w:val="24"/>
              </w:rPr>
              <w:t xml:space="preserve">Classification and progression </w:t>
            </w:r>
            <w:proofErr w:type="gramStart"/>
            <w:r>
              <w:rPr>
                <w:rFonts w:eastAsia="Calibri"/>
                <w:sz w:val="24"/>
                <w:szCs w:val="24"/>
              </w:rPr>
              <w:t>is</w:t>
            </w:r>
            <w:proofErr w:type="gramEnd"/>
            <w:r>
              <w:rPr>
                <w:rFonts w:eastAsia="Calibri"/>
                <w:sz w:val="24"/>
                <w:szCs w:val="24"/>
              </w:rPr>
              <w:t xml:space="preserve"> based upon training, qualifications, and satisfactory performance.</w:t>
            </w:r>
          </w:p>
          <w:p w14:paraId="34750463" w14:textId="245BD16B" w:rsidR="00E432FB" w:rsidRPr="00D729A2" w:rsidRDefault="00D729A2" w:rsidP="00D729A2">
            <w:pPr>
              <w:numPr>
                <w:ilvl w:val="0"/>
                <w:numId w:val="32"/>
              </w:numPr>
              <w:spacing w:before="60" w:after="60"/>
              <w:ind w:left="168"/>
              <w:jc w:val="both"/>
              <w:rPr>
                <w:rFonts w:eastAsia="Times New Roman"/>
                <w:sz w:val="24"/>
                <w:szCs w:val="20"/>
              </w:rPr>
            </w:pPr>
            <w:r w:rsidRPr="00D729A2">
              <w:rPr>
                <w:rFonts w:eastAsia="Times New Roman"/>
                <w:sz w:val="24"/>
                <w:szCs w:val="24"/>
              </w:rPr>
              <w:t>Progression to Band 1 Level 13 requires an employee to have been at Band 1 Level 12 for 12 months or more and have full teacher registration as certified by the Teachers Registration Board (Tasmania).</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10D4AA59" w14:textId="77777777" w:rsidR="00547D1A" w:rsidRPr="00D729A2" w:rsidRDefault="00547D1A" w:rsidP="00D729A2">
            <w:pPr>
              <w:numPr>
                <w:ilvl w:val="0"/>
                <w:numId w:val="32"/>
              </w:numPr>
              <w:spacing w:before="60" w:after="60"/>
              <w:ind w:left="168"/>
              <w:jc w:val="both"/>
              <w:rPr>
                <w:rFonts w:eastAsia="Times New Roman"/>
                <w:sz w:val="24"/>
                <w:szCs w:val="24"/>
              </w:rPr>
            </w:pPr>
            <w:r w:rsidRPr="00D729A2">
              <w:rPr>
                <w:rFonts w:eastAsia="Times New Roman"/>
                <w:sz w:val="24"/>
                <w:szCs w:val="24"/>
              </w:rPr>
              <w:t xml:space="preserve">Four years or more training as defined in the Teaching Service (Tasmanian Public Sector) Award 2005. </w:t>
            </w:r>
          </w:p>
          <w:p w14:paraId="4504C70A" w14:textId="77777777" w:rsidR="00BB392C" w:rsidRPr="00D729A2" w:rsidRDefault="00BB392C" w:rsidP="00D729A2">
            <w:pPr>
              <w:numPr>
                <w:ilvl w:val="0"/>
                <w:numId w:val="32"/>
              </w:numPr>
              <w:spacing w:before="60" w:after="60"/>
              <w:ind w:left="168"/>
              <w:jc w:val="both"/>
              <w:rPr>
                <w:rFonts w:eastAsia="Times New Roman"/>
                <w:sz w:val="24"/>
                <w:szCs w:val="24"/>
              </w:rPr>
            </w:pPr>
            <w:r w:rsidRPr="00D729A2">
              <w:rPr>
                <w:rFonts w:eastAsia="Times New Roman"/>
                <w:sz w:val="24"/>
                <w:szCs w:val="24"/>
              </w:rPr>
              <w:t xml:space="preserve">Current certificate of registration; or provisional registration granted by the Teachers Registration Board (Tasmania). </w:t>
            </w:r>
          </w:p>
          <w:p w14:paraId="0829FD4C" w14:textId="02114AEB" w:rsidR="0026062E" w:rsidRPr="0006642C" w:rsidRDefault="00DD2C8E" w:rsidP="00D729A2">
            <w:pPr>
              <w:numPr>
                <w:ilvl w:val="0"/>
                <w:numId w:val="32"/>
              </w:numPr>
              <w:spacing w:before="60" w:after="60"/>
              <w:ind w:left="168"/>
              <w:jc w:val="both"/>
              <w:rPr>
                <w:rFonts w:eastAsia="Times New Roman"/>
              </w:rPr>
            </w:pPr>
            <w:r w:rsidRPr="00D729A2">
              <w:rPr>
                <w:rFonts w:eastAsia="Times New Roman"/>
                <w:sz w:val="24"/>
                <w:szCs w:val="24"/>
              </w:rPr>
              <w:t>Specific Early Childhood Education qualification.</w:t>
            </w:r>
          </w:p>
        </w:tc>
      </w:tr>
    </w:tbl>
    <w:p w14:paraId="2955F3DE" w14:textId="2E57563A" w:rsidR="00360CDB" w:rsidRPr="00190B67" w:rsidRDefault="00360CDB" w:rsidP="00CA664C">
      <w:pPr>
        <w:pStyle w:val="Heading2"/>
        <w:jc w:val="both"/>
        <w:rPr>
          <w:color w:val="011947"/>
        </w:rPr>
      </w:pPr>
      <w:r w:rsidRPr="00190B67">
        <w:rPr>
          <w:color w:val="011947"/>
        </w:rPr>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ultimate goal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lastRenderedPageBreak/>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We bring our values to life through our everyday behaviours and actions. We want to attract, recruit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lastRenderedPageBreak/>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5A0FCA87" w14:textId="2267B5B5"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0FCCF013" w14:textId="76D718CC" w:rsidR="00FC6EE1" w:rsidRPr="00CA664C" w:rsidRDefault="00FC6EE1" w:rsidP="001906FA">
      <w:pPr>
        <w:jc w:val="both"/>
        <w:rPr>
          <w:bCs/>
          <w:sz w:val="24"/>
          <w:szCs w:val="24"/>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0F2B8D55" w14:textId="59E27179"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w:t>
            </w:r>
            <w:r w:rsidR="008629B1">
              <w:rPr>
                <w:rFonts w:cs="Arial"/>
              </w:rPr>
              <w:t>Deputy</w:t>
            </w:r>
            <w:r w:rsidRPr="00D720EC">
              <w:rPr>
                <w:rFonts w:cs="Arial"/>
              </w:rPr>
              <w:t xml:space="preserve"> Director </w:t>
            </w:r>
            <w:r>
              <w:rPr>
                <w:rFonts w:cs="Arial"/>
              </w:rPr>
              <w:t xml:space="preserve">Strategic Recruitment and Payroll Operations </w:t>
            </w:r>
            <w:r w:rsidRPr="00D720EC">
              <w:rPr>
                <w:rFonts w:cs="Arial"/>
              </w:rPr>
              <w:t>– DATE</w:t>
            </w:r>
            <w:r>
              <w:rPr>
                <w:rFonts w:cs="Arial"/>
              </w:rPr>
              <w:t xml:space="preserve"> </w:t>
            </w:r>
          </w:p>
          <w:p w14:paraId="14D9AF34" w14:textId="77777777" w:rsidR="0037723F" w:rsidRPr="00D720EC" w:rsidRDefault="0037723F" w:rsidP="006D6A31">
            <w:pPr>
              <w:tabs>
                <w:tab w:val="left" w:pos="180"/>
              </w:tabs>
              <w:rPr>
                <w:rFonts w:cs="Arial"/>
              </w:rPr>
            </w:pPr>
            <w:r w:rsidRPr="00D720EC">
              <w:rPr>
                <w:rFonts w:cs="Arial"/>
              </w:rPr>
              <w:t xml:space="preserve">Request: </w:t>
            </w:r>
          </w:p>
          <w:p w14:paraId="7E230FA4" w14:textId="77777777" w:rsidR="0037723F" w:rsidRPr="00D720EC" w:rsidRDefault="0037723F" w:rsidP="006D6A31">
            <w:pPr>
              <w:rPr>
                <w:rFonts w:cs="Arial"/>
                <w:sz w:val="16"/>
                <w:szCs w:val="16"/>
              </w:rPr>
            </w:pPr>
            <w:r w:rsidRPr="00D720EC">
              <w:rPr>
                <w:rFonts w:cs="Arial"/>
              </w:rPr>
              <w:t>Date Duties and Selection Criteria Last Reviewed:  insert month/year and initial e.g. 05/17 PMG</w:t>
            </w:r>
          </w:p>
        </w:tc>
      </w:tr>
      <w:bookmarkEnd w:id="3"/>
    </w:tbl>
    <w:p w14:paraId="5870B67D" w14:textId="68E43A95" w:rsidR="0037723F" w:rsidRPr="00B1141A" w:rsidRDefault="0037723F" w:rsidP="0037723F">
      <w:pPr>
        <w:tabs>
          <w:tab w:val="left" w:pos="180"/>
        </w:tabs>
        <w:spacing w:before="0"/>
        <w:rPr>
          <w:rFonts w:cs="Arial"/>
          <w:sz w:val="20"/>
        </w:rPr>
      </w:pPr>
    </w:p>
    <w:sectPr w:rsidR="0037723F" w:rsidRPr="00B1141A" w:rsidSect="00FD5655">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2722" w14:textId="77777777" w:rsidR="00FD5655" w:rsidRDefault="00FD5655" w:rsidP="00E93B9E">
      <w:pPr>
        <w:spacing w:after="0"/>
      </w:pPr>
      <w:r>
        <w:separator/>
      </w:r>
    </w:p>
  </w:endnote>
  <w:endnote w:type="continuationSeparator" w:id="0">
    <w:p w14:paraId="7B7F2481" w14:textId="77777777" w:rsidR="00FD5655" w:rsidRDefault="00FD5655"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729692419" name="Picture 1729692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F235" w14:textId="77777777" w:rsidR="00FD5655" w:rsidRDefault="00FD5655" w:rsidP="00E93B9E">
      <w:pPr>
        <w:spacing w:after="0"/>
      </w:pPr>
      <w:r>
        <w:separator/>
      </w:r>
    </w:p>
  </w:footnote>
  <w:footnote w:type="continuationSeparator" w:id="0">
    <w:p w14:paraId="248515AA" w14:textId="77777777" w:rsidR="00FD5655" w:rsidRDefault="00FD5655"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212284614" name="Picture 2122846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1739989252" name="Picture 17399892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213576726" name="Picture 2135767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2CC32C2"/>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2"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D93E66"/>
    <w:multiLevelType w:val="hybridMultilevel"/>
    <w:tmpl w:val="02FCC108"/>
    <w:lvl w:ilvl="0" w:tplc="FFFFFFFF">
      <w:start w:val="1"/>
      <w:numFmt w:val="decimal"/>
      <w:lvlText w:val="%1."/>
      <w:lvlJc w:val="left"/>
      <w:pPr>
        <w:ind w:left="720" w:hanging="360"/>
      </w:pPr>
      <w:rPr>
        <w:color w:val="auto"/>
        <w:sz w:val="24"/>
        <w:szCs w:val="24"/>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8"/>
  </w:num>
  <w:num w:numId="37" w16cid:durableId="1559319133">
    <w:abstractNumId w:val="36"/>
  </w:num>
  <w:num w:numId="38" w16cid:durableId="1009992410">
    <w:abstractNumId w:val="32"/>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755395588">
    <w:abstractNumId w:val="42"/>
  </w:num>
  <w:num w:numId="45" w16cid:durableId="281304752">
    <w:abstractNumId w:val="35"/>
  </w:num>
  <w:num w:numId="46" w16cid:durableId="56245351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B2CD2"/>
    <w:rsid w:val="000C360B"/>
    <w:rsid w:val="000C4A63"/>
    <w:rsid w:val="000D4346"/>
    <w:rsid w:val="000E1E76"/>
    <w:rsid w:val="000E3179"/>
    <w:rsid w:val="000E3AF7"/>
    <w:rsid w:val="000F10FB"/>
    <w:rsid w:val="00102C39"/>
    <w:rsid w:val="001033DF"/>
    <w:rsid w:val="00116589"/>
    <w:rsid w:val="0012105D"/>
    <w:rsid w:val="00121369"/>
    <w:rsid w:val="00131297"/>
    <w:rsid w:val="00134F65"/>
    <w:rsid w:val="001360D0"/>
    <w:rsid w:val="00140B20"/>
    <w:rsid w:val="00141559"/>
    <w:rsid w:val="00155415"/>
    <w:rsid w:val="00156E6B"/>
    <w:rsid w:val="001755B3"/>
    <w:rsid w:val="00176F7F"/>
    <w:rsid w:val="00180228"/>
    <w:rsid w:val="001870EB"/>
    <w:rsid w:val="001879E8"/>
    <w:rsid w:val="001906FA"/>
    <w:rsid w:val="00190B67"/>
    <w:rsid w:val="001A1165"/>
    <w:rsid w:val="001A4AC4"/>
    <w:rsid w:val="001A4EAE"/>
    <w:rsid w:val="001A6658"/>
    <w:rsid w:val="001D2DD4"/>
    <w:rsid w:val="001D3301"/>
    <w:rsid w:val="001D4CC6"/>
    <w:rsid w:val="00202E3E"/>
    <w:rsid w:val="00206DE5"/>
    <w:rsid w:val="0021036E"/>
    <w:rsid w:val="00224BDC"/>
    <w:rsid w:val="002315E4"/>
    <w:rsid w:val="00232460"/>
    <w:rsid w:val="00232539"/>
    <w:rsid w:val="00243DF2"/>
    <w:rsid w:val="0026062E"/>
    <w:rsid w:val="00282C9E"/>
    <w:rsid w:val="0028795E"/>
    <w:rsid w:val="002900B1"/>
    <w:rsid w:val="00291D7A"/>
    <w:rsid w:val="002942F8"/>
    <w:rsid w:val="002A1F80"/>
    <w:rsid w:val="002B1F2F"/>
    <w:rsid w:val="002B6301"/>
    <w:rsid w:val="002B786E"/>
    <w:rsid w:val="002C3A0D"/>
    <w:rsid w:val="002D16CD"/>
    <w:rsid w:val="002D2CAE"/>
    <w:rsid w:val="002E1B02"/>
    <w:rsid w:val="002F35BB"/>
    <w:rsid w:val="002F49C3"/>
    <w:rsid w:val="002F6671"/>
    <w:rsid w:val="00307663"/>
    <w:rsid w:val="00307F78"/>
    <w:rsid w:val="00314E39"/>
    <w:rsid w:val="00323304"/>
    <w:rsid w:val="003271F5"/>
    <w:rsid w:val="0033592B"/>
    <w:rsid w:val="00340C2F"/>
    <w:rsid w:val="003430ED"/>
    <w:rsid w:val="00360CDB"/>
    <w:rsid w:val="00365591"/>
    <w:rsid w:val="00370004"/>
    <w:rsid w:val="00370327"/>
    <w:rsid w:val="0037723F"/>
    <w:rsid w:val="00381C1B"/>
    <w:rsid w:val="003A0A35"/>
    <w:rsid w:val="003A3F7E"/>
    <w:rsid w:val="003B009A"/>
    <w:rsid w:val="003B6B5E"/>
    <w:rsid w:val="003C15EB"/>
    <w:rsid w:val="003C748E"/>
    <w:rsid w:val="003D37E6"/>
    <w:rsid w:val="003E543A"/>
    <w:rsid w:val="003F48C4"/>
    <w:rsid w:val="003F66CB"/>
    <w:rsid w:val="003F78ED"/>
    <w:rsid w:val="0040340A"/>
    <w:rsid w:val="004269CD"/>
    <w:rsid w:val="004455FA"/>
    <w:rsid w:val="00454A22"/>
    <w:rsid w:val="004568CC"/>
    <w:rsid w:val="00467849"/>
    <w:rsid w:val="0047705C"/>
    <w:rsid w:val="00482F50"/>
    <w:rsid w:val="004B06B8"/>
    <w:rsid w:val="004B118F"/>
    <w:rsid w:val="004B1DF9"/>
    <w:rsid w:val="004C2944"/>
    <w:rsid w:val="004C2BAF"/>
    <w:rsid w:val="004C466D"/>
    <w:rsid w:val="004D0C42"/>
    <w:rsid w:val="004E5DAC"/>
    <w:rsid w:val="00501CCC"/>
    <w:rsid w:val="005071CC"/>
    <w:rsid w:val="00524D78"/>
    <w:rsid w:val="00534D87"/>
    <w:rsid w:val="00547D1A"/>
    <w:rsid w:val="00547D7C"/>
    <w:rsid w:val="00547F64"/>
    <w:rsid w:val="00561EC8"/>
    <w:rsid w:val="00575427"/>
    <w:rsid w:val="0057614B"/>
    <w:rsid w:val="00590E28"/>
    <w:rsid w:val="005910A6"/>
    <w:rsid w:val="00591873"/>
    <w:rsid w:val="005A3E07"/>
    <w:rsid w:val="005C2DA4"/>
    <w:rsid w:val="005C666C"/>
    <w:rsid w:val="005E1DFF"/>
    <w:rsid w:val="005E6AE3"/>
    <w:rsid w:val="005E6E3B"/>
    <w:rsid w:val="005F3B0F"/>
    <w:rsid w:val="005F466E"/>
    <w:rsid w:val="006111D4"/>
    <w:rsid w:val="00611208"/>
    <w:rsid w:val="00616D82"/>
    <w:rsid w:val="006179AA"/>
    <w:rsid w:val="00621590"/>
    <w:rsid w:val="00621F36"/>
    <w:rsid w:val="0063295A"/>
    <w:rsid w:val="00632C3F"/>
    <w:rsid w:val="00633CC1"/>
    <w:rsid w:val="006373A0"/>
    <w:rsid w:val="0064499C"/>
    <w:rsid w:val="00644F9F"/>
    <w:rsid w:val="00653BB7"/>
    <w:rsid w:val="00655C82"/>
    <w:rsid w:val="00687373"/>
    <w:rsid w:val="00691C79"/>
    <w:rsid w:val="00693485"/>
    <w:rsid w:val="006A54A3"/>
    <w:rsid w:val="006B514D"/>
    <w:rsid w:val="006D6DC6"/>
    <w:rsid w:val="006E080C"/>
    <w:rsid w:val="006E2041"/>
    <w:rsid w:val="006E4272"/>
    <w:rsid w:val="006E7DCB"/>
    <w:rsid w:val="006F1EC6"/>
    <w:rsid w:val="006F22C4"/>
    <w:rsid w:val="006F6682"/>
    <w:rsid w:val="00704EB7"/>
    <w:rsid w:val="007074FC"/>
    <w:rsid w:val="007167C2"/>
    <w:rsid w:val="00720C66"/>
    <w:rsid w:val="007503DC"/>
    <w:rsid w:val="007607BF"/>
    <w:rsid w:val="00761157"/>
    <w:rsid w:val="0076288C"/>
    <w:rsid w:val="00767B51"/>
    <w:rsid w:val="00771B76"/>
    <w:rsid w:val="007763C7"/>
    <w:rsid w:val="00781F77"/>
    <w:rsid w:val="007A4FF5"/>
    <w:rsid w:val="007A7845"/>
    <w:rsid w:val="007C08B4"/>
    <w:rsid w:val="007C3F49"/>
    <w:rsid w:val="007D0524"/>
    <w:rsid w:val="007D64D9"/>
    <w:rsid w:val="007E009D"/>
    <w:rsid w:val="007E6040"/>
    <w:rsid w:val="007F11D8"/>
    <w:rsid w:val="007F4A17"/>
    <w:rsid w:val="00805C7A"/>
    <w:rsid w:val="00807179"/>
    <w:rsid w:val="00815A91"/>
    <w:rsid w:val="0081635A"/>
    <w:rsid w:val="008171E0"/>
    <w:rsid w:val="0082014A"/>
    <w:rsid w:val="00831B39"/>
    <w:rsid w:val="008433E6"/>
    <w:rsid w:val="00845E4A"/>
    <w:rsid w:val="00847537"/>
    <w:rsid w:val="00861B0A"/>
    <w:rsid w:val="008629B1"/>
    <w:rsid w:val="0088748C"/>
    <w:rsid w:val="008A5084"/>
    <w:rsid w:val="008B02B9"/>
    <w:rsid w:val="008B2A57"/>
    <w:rsid w:val="008C097F"/>
    <w:rsid w:val="008C3B71"/>
    <w:rsid w:val="008C7207"/>
    <w:rsid w:val="008D20B5"/>
    <w:rsid w:val="008D3A24"/>
    <w:rsid w:val="008E1563"/>
    <w:rsid w:val="008F2E1D"/>
    <w:rsid w:val="00902123"/>
    <w:rsid w:val="009051AD"/>
    <w:rsid w:val="009119A6"/>
    <w:rsid w:val="0094083D"/>
    <w:rsid w:val="009456F9"/>
    <w:rsid w:val="009458E9"/>
    <w:rsid w:val="00954C08"/>
    <w:rsid w:val="00974C49"/>
    <w:rsid w:val="00984F64"/>
    <w:rsid w:val="00986116"/>
    <w:rsid w:val="009B2739"/>
    <w:rsid w:val="009B3564"/>
    <w:rsid w:val="009B41A2"/>
    <w:rsid w:val="009B4D8E"/>
    <w:rsid w:val="009F2312"/>
    <w:rsid w:val="009F7CE1"/>
    <w:rsid w:val="00A118A3"/>
    <w:rsid w:val="00A2353B"/>
    <w:rsid w:val="00A23956"/>
    <w:rsid w:val="00A27A83"/>
    <w:rsid w:val="00A40EA2"/>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F50"/>
    <w:rsid w:val="00AB61FD"/>
    <w:rsid w:val="00AC1E54"/>
    <w:rsid w:val="00AC5748"/>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08CF"/>
    <w:rsid w:val="00BA316B"/>
    <w:rsid w:val="00BB392C"/>
    <w:rsid w:val="00BB5FDC"/>
    <w:rsid w:val="00BC3B94"/>
    <w:rsid w:val="00BC41E1"/>
    <w:rsid w:val="00BC7B79"/>
    <w:rsid w:val="00BD518E"/>
    <w:rsid w:val="00BF1682"/>
    <w:rsid w:val="00C07D2B"/>
    <w:rsid w:val="00C240C6"/>
    <w:rsid w:val="00C24404"/>
    <w:rsid w:val="00C343B0"/>
    <w:rsid w:val="00C35E3F"/>
    <w:rsid w:val="00C443C3"/>
    <w:rsid w:val="00C47610"/>
    <w:rsid w:val="00C54D91"/>
    <w:rsid w:val="00C56942"/>
    <w:rsid w:val="00C637AE"/>
    <w:rsid w:val="00C80486"/>
    <w:rsid w:val="00C932EB"/>
    <w:rsid w:val="00C93D94"/>
    <w:rsid w:val="00C96E08"/>
    <w:rsid w:val="00CA664C"/>
    <w:rsid w:val="00CB1318"/>
    <w:rsid w:val="00CB2562"/>
    <w:rsid w:val="00CD4C92"/>
    <w:rsid w:val="00CE5E8E"/>
    <w:rsid w:val="00CF1882"/>
    <w:rsid w:val="00CF3212"/>
    <w:rsid w:val="00D00E93"/>
    <w:rsid w:val="00D105B8"/>
    <w:rsid w:val="00D13896"/>
    <w:rsid w:val="00D13CF6"/>
    <w:rsid w:val="00D25425"/>
    <w:rsid w:val="00D36343"/>
    <w:rsid w:val="00D402A1"/>
    <w:rsid w:val="00D44F0C"/>
    <w:rsid w:val="00D45A4A"/>
    <w:rsid w:val="00D51ED6"/>
    <w:rsid w:val="00D55E83"/>
    <w:rsid w:val="00D64264"/>
    <w:rsid w:val="00D648E6"/>
    <w:rsid w:val="00D71A2D"/>
    <w:rsid w:val="00D72617"/>
    <w:rsid w:val="00D729A2"/>
    <w:rsid w:val="00D74508"/>
    <w:rsid w:val="00D87E42"/>
    <w:rsid w:val="00D97BBB"/>
    <w:rsid w:val="00DA255F"/>
    <w:rsid w:val="00DA7C19"/>
    <w:rsid w:val="00DC2532"/>
    <w:rsid w:val="00DD0B41"/>
    <w:rsid w:val="00DD2C8E"/>
    <w:rsid w:val="00DE1EB7"/>
    <w:rsid w:val="00DE6C09"/>
    <w:rsid w:val="00DF49F3"/>
    <w:rsid w:val="00E03F4F"/>
    <w:rsid w:val="00E07412"/>
    <w:rsid w:val="00E13473"/>
    <w:rsid w:val="00E23E02"/>
    <w:rsid w:val="00E34C3D"/>
    <w:rsid w:val="00E432FB"/>
    <w:rsid w:val="00E46DF3"/>
    <w:rsid w:val="00E569C0"/>
    <w:rsid w:val="00E57648"/>
    <w:rsid w:val="00E60A97"/>
    <w:rsid w:val="00E7721D"/>
    <w:rsid w:val="00E92ECE"/>
    <w:rsid w:val="00E93B9E"/>
    <w:rsid w:val="00EA0653"/>
    <w:rsid w:val="00EC1477"/>
    <w:rsid w:val="00EC7194"/>
    <w:rsid w:val="00EC76DC"/>
    <w:rsid w:val="00EE3024"/>
    <w:rsid w:val="00EE7041"/>
    <w:rsid w:val="00EF249E"/>
    <w:rsid w:val="00EF25F6"/>
    <w:rsid w:val="00EF59EA"/>
    <w:rsid w:val="00F142CC"/>
    <w:rsid w:val="00F3584E"/>
    <w:rsid w:val="00F40B04"/>
    <w:rsid w:val="00F470F1"/>
    <w:rsid w:val="00F50874"/>
    <w:rsid w:val="00F508AB"/>
    <w:rsid w:val="00F82036"/>
    <w:rsid w:val="00F90501"/>
    <w:rsid w:val="00F94FE9"/>
    <w:rsid w:val="00F9547D"/>
    <w:rsid w:val="00FA0C2C"/>
    <w:rsid w:val="00FA369D"/>
    <w:rsid w:val="00FB0399"/>
    <w:rsid w:val="00FB3D40"/>
    <w:rsid w:val="00FC4A72"/>
    <w:rsid w:val="00FC6EE1"/>
    <w:rsid w:val="00FD47C2"/>
    <w:rsid w:val="00FD5655"/>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33313F"/>
    <w:rsid w:val="004C74F3"/>
    <w:rsid w:val="004E30B5"/>
    <w:rsid w:val="00716ACA"/>
    <w:rsid w:val="009243E4"/>
    <w:rsid w:val="0095592D"/>
    <w:rsid w:val="00B74F1B"/>
    <w:rsid w:val="00FC7F2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5592D"/>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12123</Characters>
  <Application>Microsoft Office Word</Application>
  <DocSecurity>4</DocSecurity>
  <Lines>224</Lines>
  <Paragraphs>114</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Officer (Child and Family Learning Centre)</dc:title>
  <dc:subject/>
  <dc:creator>Dinnessen, Cameron</dc:creator>
  <cp:keywords/>
  <dc:description/>
  <cp:lastModifiedBy>Blacklow, Erica</cp:lastModifiedBy>
  <cp:revision>2</cp:revision>
  <cp:lastPrinted>2024-02-22T01:53:00Z</cp:lastPrinted>
  <dcterms:created xsi:type="dcterms:W3CDTF">2024-02-22T01:54:00Z</dcterms:created>
  <dcterms:modified xsi:type="dcterms:W3CDTF">2024-02-22T01:54:00Z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