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054C"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4BF41EC9" wp14:editId="6F4DD2B8">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p w14:paraId="4E82FDD0" w14:textId="2DCB7697" w:rsidR="00644F9F" w:rsidRDefault="00916D6F" w:rsidP="00644F9F">
      <w:pPr>
        <w:pStyle w:val="Title"/>
      </w:pPr>
      <w:bookmarkStart w:id="0" w:name="_Toc503689211"/>
      <w:r w:rsidRPr="00916D6F">
        <w:rPr>
          <w:sz w:val="48"/>
          <w:szCs w:val="48"/>
        </w:rPr>
        <w:t>Archivist</w:t>
      </w:r>
    </w:p>
    <w:tbl>
      <w:tblPr>
        <w:tblStyle w:val="GridTable41"/>
        <w:tblW w:w="0" w:type="auto"/>
        <w:tblLook w:val="04A0" w:firstRow="1" w:lastRow="0" w:firstColumn="1" w:lastColumn="0" w:noHBand="0" w:noVBand="1"/>
      </w:tblPr>
      <w:tblGrid>
        <w:gridCol w:w="3114"/>
        <w:gridCol w:w="1672"/>
        <w:gridCol w:w="4786"/>
      </w:tblGrid>
      <w:tr w:rsidR="006F6682" w14:paraId="32A1CED5"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250002A"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2222F871" w14:textId="63D84FE0" w:rsidR="006F6682" w:rsidRPr="0057614B" w:rsidRDefault="00916D6F"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JUNE 2013</w:t>
            </w:r>
          </w:p>
        </w:tc>
      </w:tr>
      <w:tr w:rsidR="007D64D9" w14:paraId="3C1D3F3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4889BAC"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07C8C43E" w14:textId="69AD9A2E" w:rsidR="007D64D9" w:rsidRPr="00297AAE" w:rsidRDefault="00A43FB8" w:rsidP="007D64D9">
            <w:pPr>
              <w:cnfStyle w:val="000000100000" w:firstRow="0" w:lastRow="0" w:firstColumn="0" w:lastColumn="0" w:oddVBand="0" w:evenVBand="0" w:oddHBand="1" w:evenHBand="0" w:firstRowFirstColumn="0" w:firstRowLastColumn="0" w:lastRowFirstColumn="0" w:lastRowLastColumn="0"/>
            </w:pPr>
            <w:r w:rsidRPr="00297AAE">
              <w:rPr>
                <w:rFonts w:eastAsia="Times New Roman" w:cs="Arial"/>
                <w:bCs/>
                <w:sz w:val="24"/>
                <w:szCs w:val="24"/>
              </w:rPr>
              <w:t>Generic</w:t>
            </w:r>
          </w:p>
        </w:tc>
      </w:tr>
      <w:tr w:rsidR="007D64D9" w14:paraId="4C46594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90DE4E9"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35139BA2" w14:textId="18BF7106" w:rsidR="007D64D9" w:rsidRPr="00297AAE" w:rsidRDefault="00A43FB8" w:rsidP="007D64D9">
            <w:pPr>
              <w:cnfStyle w:val="000000000000" w:firstRow="0" w:lastRow="0" w:firstColumn="0" w:lastColumn="0" w:oddVBand="0" w:evenVBand="0" w:oddHBand="0" w:evenHBand="0" w:firstRowFirstColumn="0" w:firstRowLastColumn="0" w:lastRowFirstColumn="0" w:lastRowLastColumn="0"/>
            </w:pPr>
            <w:r w:rsidRPr="00297AAE">
              <w:rPr>
                <w:rFonts w:eastAsia="Times New Roman" w:cs="Arial"/>
                <w:bCs/>
                <w:sz w:val="24"/>
                <w:szCs w:val="24"/>
              </w:rPr>
              <w:t xml:space="preserve">Libraries Tasmania </w:t>
            </w:r>
          </w:p>
        </w:tc>
      </w:tr>
      <w:tr w:rsidR="007D64D9" w14:paraId="5B91056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1DC31A4"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37693E8A" w14:textId="1044A714" w:rsidR="007D64D9" w:rsidRPr="00297AAE" w:rsidRDefault="00A43FB8" w:rsidP="007D64D9">
            <w:pPr>
              <w:cnfStyle w:val="000000100000" w:firstRow="0" w:lastRow="0" w:firstColumn="0" w:lastColumn="0" w:oddVBand="0" w:evenVBand="0" w:oddHBand="1" w:evenHBand="0" w:firstRowFirstColumn="0" w:firstRowLastColumn="0" w:lastRowFirstColumn="0" w:lastRowLastColumn="0"/>
            </w:pPr>
            <w:r w:rsidRPr="00297AAE">
              <w:rPr>
                <w:rFonts w:eastAsia="Times New Roman" w:cs="Arial"/>
                <w:bCs/>
                <w:sz w:val="24"/>
                <w:szCs w:val="24"/>
              </w:rPr>
              <w:t>N/A</w:t>
            </w:r>
          </w:p>
        </w:tc>
      </w:tr>
      <w:tr w:rsidR="007D64D9" w14:paraId="2B2C525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58A29DF"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007532D9" w14:textId="6168B126" w:rsidR="007D64D9" w:rsidRPr="00297AAE" w:rsidRDefault="00A43FB8" w:rsidP="007D64D9">
            <w:pPr>
              <w:cnfStyle w:val="000000000000" w:firstRow="0" w:lastRow="0" w:firstColumn="0" w:lastColumn="0" w:oddVBand="0" w:evenVBand="0" w:oddHBand="0" w:evenHBand="0" w:firstRowFirstColumn="0" w:firstRowLastColumn="0" w:lastRowFirstColumn="0" w:lastRowLastColumn="0"/>
            </w:pPr>
            <w:r w:rsidRPr="00297AAE">
              <w:rPr>
                <w:rFonts w:eastAsia="Times New Roman" w:cs="Arial"/>
                <w:bCs/>
                <w:sz w:val="24"/>
                <w:szCs w:val="24"/>
              </w:rPr>
              <w:t>N/A</w:t>
            </w:r>
          </w:p>
        </w:tc>
      </w:tr>
      <w:tr w:rsidR="007D64D9" w14:paraId="5930601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E5FFDEB"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239D00B2" w14:textId="57775455" w:rsidR="007D64D9" w:rsidRPr="00297AAE" w:rsidRDefault="00A43FB8" w:rsidP="007D64D9">
            <w:pPr>
              <w:cnfStyle w:val="000000100000" w:firstRow="0" w:lastRow="0" w:firstColumn="0" w:lastColumn="0" w:oddVBand="0" w:evenVBand="0" w:oddHBand="1" w:evenHBand="0" w:firstRowFirstColumn="0" w:firstRowLastColumn="0" w:lastRowFirstColumn="0" w:lastRowLastColumn="0"/>
            </w:pPr>
            <w:r w:rsidRPr="00297AAE">
              <w:rPr>
                <w:rFonts w:eastAsia="Times New Roman" w:cs="Arial"/>
                <w:bCs/>
                <w:sz w:val="24"/>
                <w:szCs w:val="24"/>
              </w:rPr>
              <w:t>N/A</w:t>
            </w:r>
          </w:p>
        </w:tc>
      </w:tr>
      <w:tr w:rsidR="00232460" w14:paraId="499AEC1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FE236E1"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14603340" w14:textId="44BFDC08" w:rsidR="00232460" w:rsidRPr="00297AAE" w:rsidRDefault="00A43FB8" w:rsidP="00232460">
            <w:pPr>
              <w:cnfStyle w:val="000000000000" w:firstRow="0" w:lastRow="0" w:firstColumn="0" w:lastColumn="0" w:oddVBand="0" w:evenVBand="0" w:oddHBand="0" w:evenHBand="0" w:firstRowFirstColumn="0" w:firstRowLastColumn="0" w:lastRowFirstColumn="0" w:lastRowLastColumn="0"/>
            </w:pPr>
            <w:r w:rsidRPr="00297AAE">
              <w:rPr>
                <w:rFonts w:eastAsia="Times New Roman" w:cs="Arial"/>
                <w:bCs/>
                <w:sz w:val="24"/>
                <w:szCs w:val="24"/>
              </w:rPr>
              <w:t>As specified</w:t>
            </w:r>
          </w:p>
        </w:tc>
      </w:tr>
      <w:tr w:rsidR="005F3B0F" w14:paraId="5748EB9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76070B8"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29D1236E" w14:textId="31299305" w:rsidR="005F3B0F" w:rsidRPr="00297AAE" w:rsidRDefault="002522DD" w:rsidP="005F3B0F">
            <w:pPr>
              <w:cnfStyle w:val="000000100000" w:firstRow="0" w:lastRow="0" w:firstColumn="0" w:lastColumn="0" w:oddVBand="0" w:evenVBand="0" w:oddHBand="1" w:evenHBand="0" w:firstRowFirstColumn="0" w:firstRowLastColumn="0" w:lastRowFirstColumn="0" w:lastRowLastColumn="0"/>
            </w:pPr>
            <w:r w:rsidRPr="00297AAE">
              <w:rPr>
                <w:rFonts w:eastAsia="Times New Roman" w:cs="Arial"/>
                <w:bCs/>
                <w:sz w:val="24"/>
                <w:szCs w:val="24"/>
              </w:rPr>
              <w:t>Tasmanian State Service Award</w:t>
            </w:r>
          </w:p>
        </w:tc>
      </w:tr>
      <w:tr w:rsidR="005F3B0F" w14:paraId="1082D9C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3837F70"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06BCB545" w14:textId="709E11E3" w:rsidR="005F3B0F" w:rsidRPr="00297AAE" w:rsidRDefault="007B1CDA" w:rsidP="005F3B0F">
            <w:pPr>
              <w:cnfStyle w:val="000000000000" w:firstRow="0" w:lastRow="0" w:firstColumn="0" w:lastColumn="0" w:oddVBand="0" w:evenVBand="0" w:oddHBand="0" w:evenHBand="0" w:firstRowFirstColumn="0" w:firstRowLastColumn="0" w:lastRowFirstColumn="0" w:lastRowLastColumn="0"/>
            </w:pPr>
            <w:r w:rsidRPr="00297AAE">
              <w:rPr>
                <w:rFonts w:eastAsia="Times New Roman" w:cs="Arial"/>
                <w:bCs/>
                <w:sz w:val="24"/>
                <w:szCs w:val="24"/>
              </w:rPr>
              <w:t>Professional Stream Band 1</w:t>
            </w:r>
          </w:p>
        </w:tc>
      </w:tr>
      <w:tr w:rsidR="00232460" w14:paraId="6541404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6E98C9A"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11F453D8" w14:textId="62C09325" w:rsidR="005F3B0F" w:rsidRPr="00297AAE" w:rsidRDefault="00297AAE" w:rsidP="00232460">
            <w:pPr>
              <w:cnfStyle w:val="000000100000" w:firstRow="0" w:lastRow="0" w:firstColumn="0" w:lastColumn="0" w:oddVBand="0" w:evenVBand="0" w:oddHBand="1" w:evenHBand="0" w:firstRowFirstColumn="0" w:firstRowLastColumn="0" w:lastRowFirstColumn="0" w:lastRowLastColumn="0"/>
            </w:pPr>
            <w:r w:rsidRPr="00297AAE">
              <w:rPr>
                <w:bCs/>
                <w:sz w:val="24"/>
                <w:szCs w:val="24"/>
              </w:rPr>
              <w:t>Permanent/fixed term, full/part time, up to 73.5 hours per fortnight, 52 weeks per year including 4 weeks annual leave. Some intrastate travel and rostered evening work will be required.</w:t>
            </w:r>
          </w:p>
        </w:tc>
      </w:tr>
      <w:tr w:rsidR="00232460" w14:paraId="4F9D1C3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34C20EA"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6A97762A" w14:textId="6248B828" w:rsidR="00232460" w:rsidRPr="00297AAE" w:rsidRDefault="00297AAE" w:rsidP="00232460">
            <w:pPr>
              <w:cnfStyle w:val="000000000000" w:firstRow="0" w:lastRow="0" w:firstColumn="0" w:lastColumn="0" w:oddVBand="0" w:evenVBand="0" w:oddHBand="0" w:evenHBand="0" w:firstRowFirstColumn="0" w:firstRowLastColumn="0" w:lastRowFirstColumn="0" w:lastRowLastColumn="0"/>
            </w:pPr>
            <w:r w:rsidRPr="00297AAE">
              <w:rPr>
                <w:rFonts w:eastAsia="Times New Roman"/>
                <w:sz w:val="24"/>
                <w:szCs w:val="24"/>
              </w:rPr>
              <w:t>As specified</w:t>
            </w:r>
          </w:p>
        </w:tc>
      </w:tr>
      <w:tr w:rsidR="007D64D9" w14:paraId="1921C705"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94F9C6E"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5E3101E0" w14:textId="31BD34BE" w:rsidR="007D64D9" w:rsidRPr="00297AAE" w:rsidRDefault="007D64D9" w:rsidP="007D64D9">
            <w:pPr>
              <w:cnfStyle w:val="000000100000" w:firstRow="0" w:lastRow="0" w:firstColumn="0" w:lastColumn="0" w:oddVBand="0" w:evenVBand="0" w:oddHBand="1" w:evenHBand="0" w:firstRowFirstColumn="0" w:firstRowLastColumn="0" w:lastRowFirstColumn="0" w:lastRowLastColumn="0"/>
            </w:pPr>
            <w:r w:rsidRPr="00297AAE">
              <w:rPr>
                <w:rFonts w:eastAsia="Times New Roman"/>
                <w:sz w:val="24"/>
                <w:szCs w:val="24"/>
              </w:rPr>
              <w:t>N/A</w:t>
            </w:r>
          </w:p>
        </w:tc>
      </w:tr>
      <w:tr w:rsidR="005F3B0F" w14:paraId="1CD1196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FDCB9B9"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11CDBCCF" w14:textId="1EE3C9DC" w:rsidR="005F3B0F" w:rsidRPr="00297AAE" w:rsidRDefault="005F3B0F" w:rsidP="005F3B0F">
            <w:pPr>
              <w:cnfStyle w:val="000000000000" w:firstRow="0" w:lastRow="0" w:firstColumn="0" w:lastColumn="0" w:oddVBand="0" w:evenVBand="0" w:oddHBand="0" w:evenHBand="0" w:firstRowFirstColumn="0" w:firstRowLastColumn="0" w:lastRowFirstColumn="0" w:lastRowLastColumn="0"/>
            </w:pPr>
            <w:r w:rsidRPr="00297AAE">
              <w:rPr>
                <w:rFonts w:eastAsia="Times New Roman"/>
                <w:sz w:val="24"/>
                <w:szCs w:val="24"/>
              </w:rPr>
              <w:t>N/A</w:t>
            </w:r>
          </w:p>
        </w:tc>
      </w:tr>
    </w:tbl>
    <w:p w14:paraId="3A134325" w14:textId="77777777" w:rsidR="00360CDB" w:rsidRPr="00DA1BA1" w:rsidRDefault="005F3B0F" w:rsidP="00360CDB">
      <w:pPr>
        <w:pStyle w:val="Heading2"/>
      </w:pPr>
      <w:r>
        <w:t>Primary Purpose</w:t>
      </w:r>
    </w:p>
    <w:p w14:paraId="51A2AD03" w14:textId="51140C54" w:rsidR="00F4032D" w:rsidRPr="00F4032D" w:rsidRDefault="00F4032D" w:rsidP="005F3B0F">
      <w:pPr>
        <w:jc w:val="both"/>
        <w:rPr>
          <w:rFonts w:eastAsia="Times New Roman" w:cs="Arial"/>
          <w:sz w:val="24"/>
          <w:szCs w:val="24"/>
        </w:rPr>
      </w:pPr>
      <w:r w:rsidRPr="00F4032D">
        <w:rPr>
          <w:rFonts w:eastAsia="Times New Roman" w:cs="Arial"/>
          <w:sz w:val="24"/>
          <w:szCs w:val="24"/>
        </w:rPr>
        <w:t>Provide professional archival services to meet the functional requirements of the Archives Act and participate in the development and implementation of associated policies and programs.</w:t>
      </w:r>
    </w:p>
    <w:p w14:paraId="7B8B9A1E" w14:textId="77777777" w:rsidR="00360CDB" w:rsidRPr="00DA1BA1" w:rsidRDefault="00360CDB" w:rsidP="00E432FB">
      <w:pPr>
        <w:pStyle w:val="Heading2"/>
      </w:pPr>
      <w:r w:rsidRPr="00DA1BA1">
        <w:lastRenderedPageBreak/>
        <w:t>Level of Responsibility/Direction and Supervision</w:t>
      </w:r>
    </w:p>
    <w:p w14:paraId="67A3B87E" w14:textId="77777777" w:rsidR="00C84D96" w:rsidRPr="00C84D96" w:rsidRDefault="00C84D96" w:rsidP="00C84D96">
      <w:pPr>
        <w:jc w:val="both"/>
        <w:rPr>
          <w:rFonts w:eastAsia="Times New Roman"/>
          <w:sz w:val="24"/>
          <w:szCs w:val="20"/>
        </w:rPr>
      </w:pPr>
      <w:bookmarkStart w:id="1" w:name="_Hlk127543251"/>
      <w:r w:rsidRPr="00C84D96">
        <w:rPr>
          <w:rFonts w:eastAsia="Times New Roman"/>
          <w:sz w:val="24"/>
          <w:szCs w:val="20"/>
        </w:rPr>
        <w:t>Performs normal archival work under general guidance and with development may perform novel, complex or critical archival work. Generally responsible for accurate research and provision of information. As experience develops the employee will assume responsibility for more complex records disposal recommendations and the accurate arrangement, description, and retrieval of records. May supervise and guide less experienced staff. Generally responsible for the security and safety of the facilities and public access areas and implementation of access policies.</w:t>
      </w:r>
    </w:p>
    <w:p w14:paraId="400AF115" w14:textId="77777777" w:rsidR="00C84D96" w:rsidRPr="00C84D96" w:rsidRDefault="00C84D96" w:rsidP="00C84D96">
      <w:pPr>
        <w:jc w:val="both"/>
        <w:rPr>
          <w:rFonts w:eastAsia="Times New Roman"/>
          <w:sz w:val="24"/>
          <w:szCs w:val="20"/>
        </w:rPr>
      </w:pPr>
      <w:r w:rsidRPr="00C84D96">
        <w:rPr>
          <w:rFonts w:eastAsia="Times New Roman"/>
          <w:sz w:val="24"/>
          <w:szCs w:val="20"/>
        </w:rPr>
        <w:t>Initially the work of an archivist is subject to professional supervision.  As experience is gained professional supervision decreases and it is expected that independent professional judgement will be exercised, particularly in recognising and solving problems where principles, procedures, techniques and methods require expansion, adaptation or modification. The nominated supervisor will provide information on task priorities.</w:t>
      </w:r>
    </w:p>
    <w:p w14:paraId="7E495E92" w14:textId="32213C16" w:rsidR="00360CDB" w:rsidRPr="002942F8" w:rsidRDefault="00360CDB" w:rsidP="00C84D96">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20C3384" w14:textId="77777777" w:rsidR="008E1563" w:rsidRDefault="00360CDB" w:rsidP="008E1563">
      <w:pPr>
        <w:pStyle w:val="Heading2"/>
      </w:pPr>
      <w:r>
        <w:t>Primary Duties</w:t>
      </w:r>
    </w:p>
    <w:p w14:paraId="38DEBD24" w14:textId="77777777" w:rsidR="00DA255F" w:rsidRPr="00C84D96"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1799C48C" wp14:editId="0115F153">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B29D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C906D9C" w14:textId="77777777" w:rsidR="00A47BD3" w:rsidRPr="00A47BD3" w:rsidRDefault="00A47BD3" w:rsidP="00A47BD3">
      <w:pPr>
        <w:pStyle w:val="ListParagraph"/>
        <w:numPr>
          <w:ilvl w:val="0"/>
          <w:numId w:val="40"/>
        </w:numPr>
        <w:jc w:val="both"/>
        <w:rPr>
          <w:sz w:val="24"/>
          <w:szCs w:val="24"/>
        </w:rPr>
      </w:pPr>
      <w:r w:rsidRPr="00A47BD3">
        <w:rPr>
          <w:sz w:val="24"/>
          <w:szCs w:val="24"/>
        </w:rPr>
        <w:t>Provide and supervise direct access to State archives and public reference resources as required.</w:t>
      </w:r>
    </w:p>
    <w:p w14:paraId="0BC9DD8E" w14:textId="77777777" w:rsidR="00A47BD3" w:rsidRPr="00A47BD3" w:rsidRDefault="00A47BD3" w:rsidP="00A47BD3">
      <w:pPr>
        <w:pStyle w:val="ListParagraph"/>
        <w:numPr>
          <w:ilvl w:val="0"/>
          <w:numId w:val="40"/>
        </w:numPr>
        <w:jc w:val="both"/>
        <w:rPr>
          <w:sz w:val="24"/>
          <w:szCs w:val="24"/>
        </w:rPr>
      </w:pPr>
      <w:r w:rsidRPr="00A47BD3">
        <w:rPr>
          <w:sz w:val="24"/>
          <w:szCs w:val="24"/>
        </w:rPr>
        <w:t>Undertake appraisal of State and non-government records and develop Disposal Authorisations for the retention and destruction of State records.</w:t>
      </w:r>
    </w:p>
    <w:p w14:paraId="5A4548EE" w14:textId="77777777" w:rsidR="00A47BD3" w:rsidRPr="00A47BD3" w:rsidRDefault="00A47BD3" w:rsidP="00A47BD3">
      <w:pPr>
        <w:pStyle w:val="ListParagraph"/>
        <w:numPr>
          <w:ilvl w:val="0"/>
          <w:numId w:val="40"/>
        </w:numPr>
        <w:jc w:val="both"/>
        <w:rPr>
          <w:sz w:val="24"/>
          <w:szCs w:val="24"/>
        </w:rPr>
      </w:pPr>
      <w:r w:rsidRPr="00A47BD3">
        <w:rPr>
          <w:sz w:val="24"/>
          <w:szCs w:val="24"/>
        </w:rPr>
        <w:t xml:space="preserve">Create, update and maintain entries in the State archives management and descriptive systems and draft guides to holdings and services. </w:t>
      </w:r>
    </w:p>
    <w:p w14:paraId="2F0BC314" w14:textId="77777777" w:rsidR="00A47BD3" w:rsidRPr="00A47BD3" w:rsidRDefault="00A47BD3" w:rsidP="00A47BD3">
      <w:pPr>
        <w:pStyle w:val="ListParagraph"/>
        <w:numPr>
          <w:ilvl w:val="0"/>
          <w:numId w:val="40"/>
        </w:numPr>
        <w:jc w:val="both"/>
        <w:rPr>
          <w:sz w:val="24"/>
          <w:szCs w:val="24"/>
        </w:rPr>
      </w:pPr>
      <w:r w:rsidRPr="00A47BD3">
        <w:rPr>
          <w:sz w:val="24"/>
          <w:szCs w:val="24"/>
        </w:rPr>
        <w:t>Provide advice and deliver training to government and public clients and participate in the development and implementation of Public Programs.</w:t>
      </w:r>
    </w:p>
    <w:p w14:paraId="7147B054" w14:textId="77777777" w:rsidR="00A47BD3" w:rsidRPr="00A47BD3" w:rsidRDefault="00A47BD3" w:rsidP="00A47BD3">
      <w:pPr>
        <w:pStyle w:val="ListParagraph"/>
        <w:numPr>
          <w:ilvl w:val="0"/>
          <w:numId w:val="40"/>
        </w:numPr>
        <w:jc w:val="both"/>
        <w:rPr>
          <w:sz w:val="24"/>
          <w:szCs w:val="24"/>
        </w:rPr>
      </w:pPr>
      <w:r w:rsidRPr="00A47BD3">
        <w:rPr>
          <w:sz w:val="24"/>
          <w:szCs w:val="24"/>
        </w:rPr>
        <w:t>Liaise with State and Local Government and private depositors on record related issues.</w:t>
      </w:r>
    </w:p>
    <w:p w14:paraId="66446D17" w14:textId="77777777" w:rsidR="00A47BD3" w:rsidRPr="00A47BD3" w:rsidRDefault="00A47BD3" w:rsidP="00A47BD3">
      <w:pPr>
        <w:pStyle w:val="ListParagraph"/>
        <w:numPr>
          <w:ilvl w:val="0"/>
          <w:numId w:val="40"/>
        </w:numPr>
        <w:jc w:val="both"/>
        <w:rPr>
          <w:sz w:val="24"/>
          <w:szCs w:val="24"/>
        </w:rPr>
      </w:pPr>
      <w:r w:rsidRPr="00A47BD3">
        <w:rPr>
          <w:sz w:val="24"/>
          <w:szCs w:val="24"/>
        </w:rPr>
        <w:t xml:space="preserve">Assist with the development of policy standards and guidelines for the management of the State records and archives. </w:t>
      </w:r>
    </w:p>
    <w:p w14:paraId="6A19FED1" w14:textId="77777777" w:rsidR="00A47BD3" w:rsidRPr="00A47BD3" w:rsidRDefault="00A47BD3" w:rsidP="00A47BD3">
      <w:pPr>
        <w:pStyle w:val="ListParagraph"/>
        <w:numPr>
          <w:ilvl w:val="0"/>
          <w:numId w:val="40"/>
        </w:numPr>
        <w:jc w:val="both"/>
        <w:rPr>
          <w:sz w:val="24"/>
          <w:szCs w:val="24"/>
        </w:rPr>
      </w:pPr>
      <w:r w:rsidRPr="00A47BD3">
        <w:rPr>
          <w:sz w:val="24"/>
          <w:szCs w:val="24"/>
        </w:rPr>
        <w:t>Undertake research projects and prepare replies in response to requests for information.</w:t>
      </w:r>
    </w:p>
    <w:p w14:paraId="0251949C" w14:textId="77777777" w:rsidR="00A47BD3" w:rsidRPr="00A47BD3" w:rsidRDefault="00A47BD3" w:rsidP="00A47BD3">
      <w:pPr>
        <w:pStyle w:val="ListParagraph"/>
        <w:numPr>
          <w:ilvl w:val="0"/>
          <w:numId w:val="40"/>
        </w:numPr>
        <w:jc w:val="both"/>
        <w:rPr>
          <w:sz w:val="24"/>
          <w:szCs w:val="24"/>
        </w:rPr>
      </w:pPr>
      <w:r w:rsidRPr="00A47BD3">
        <w:rPr>
          <w:sz w:val="24"/>
          <w:szCs w:val="24"/>
        </w:rPr>
        <w:t xml:space="preserve">Assess preservation requirements for State archives.  </w:t>
      </w:r>
    </w:p>
    <w:p w14:paraId="0EBEE1BE" w14:textId="77777777" w:rsidR="00A47BD3" w:rsidRPr="00A47BD3" w:rsidRDefault="00A47BD3" w:rsidP="00A47BD3">
      <w:pPr>
        <w:pStyle w:val="ListParagraph"/>
        <w:numPr>
          <w:ilvl w:val="0"/>
          <w:numId w:val="40"/>
        </w:numPr>
        <w:jc w:val="both"/>
        <w:rPr>
          <w:sz w:val="24"/>
          <w:szCs w:val="24"/>
        </w:rPr>
      </w:pPr>
      <w:proofErr w:type="gramStart"/>
      <w:r w:rsidRPr="00A47BD3">
        <w:rPr>
          <w:sz w:val="24"/>
          <w:szCs w:val="24"/>
        </w:rPr>
        <w:t>Provide assistance</w:t>
      </w:r>
      <w:proofErr w:type="gramEnd"/>
      <w:r w:rsidRPr="00A47BD3">
        <w:rPr>
          <w:sz w:val="24"/>
          <w:szCs w:val="24"/>
        </w:rPr>
        <w:t xml:space="preserve"> and training to new staff.</w:t>
      </w:r>
    </w:p>
    <w:p w14:paraId="3DA9FAEF" w14:textId="77777777" w:rsidR="003A0A35" w:rsidRPr="00CD0804" w:rsidRDefault="003A0A35" w:rsidP="003A0A35">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D0C86A1" w14:textId="77777777" w:rsidR="00360CDB" w:rsidRPr="00A97B81" w:rsidRDefault="00360CDB" w:rsidP="00A47BD3">
      <w:pPr>
        <w:pStyle w:val="Heading2"/>
        <w:spacing w:before="1440"/>
      </w:pPr>
      <w:r w:rsidRPr="00A97B81">
        <w:t>Selection Criteria</w:t>
      </w:r>
    </w:p>
    <w:p w14:paraId="2495A63B"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1C16F3D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379425E4"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497E5F9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1024F8F3"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756F296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4493B420"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7171FE86"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41D7B50D" wp14:editId="0B497A89">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2EB7705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99AFCFA" w14:textId="77777777" w:rsidR="00560962" w:rsidRPr="00560962" w:rsidRDefault="00560962" w:rsidP="00560962">
      <w:pPr>
        <w:pStyle w:val="ListParagraph"/>
        <w:numPr>
          <w:ilvl w:val="0"/>
          <w:numId w:val="42"/>
        </w:numPr>
        <w:jc w:val="both"/>
        <w:rPr>
          <w:sz w:val="24"/>
          <w:szCs w:val="24"/>
        </w:rPr>
      </w:pPr>
      <w:r w:rsidRPr="00560962">
        <w:rPr>
          <w:sz w:val="24"/>
          <w:szCs w:val="24"/>
        </w:rPr>
        <w:t>A sound knowledge of the theory and practice of government archiving arrangements together with a knowledge of Tasmanian history especially the role and functions of Tasmanian government agencies and the government administrative process.</w:t>
      </w:r>
    </w:p>
    <w:p w14:paraId="69E7B193" w14:textId="77777777" w:rsidR="00560962" w:rsidRPr="00560962" w:rsidRDefault="00560962" w:rsidP="00560962">
      <w:pPr>
        <w:pStyle w:val="ListParagraph"/>
        <w:numPr>
          <w:ilvl w:val="0"/>
          <w:numId w:val="42"/>
        </w:numPr>
        <w:jc w:val="both"/>
        <w:rPr>
          <w:sz w:val="24"/>
          <w:szCs w:val="24"/>
        </w:rPr>
      </w:pPr>
      <w:r w:rsidRPr="00560962">
        <w:rPr>
          <w:sz w:val="24"/>
          <w:szCs w:val="24"/>
        </w:rPr>
        <w:t>Ability to communicate effectively both orally and in writing with the public and government agencies.</w:t>
      </w:r>
    </w:p>
    <w:p w14:paraId="78943B6D" w14:textId="77777777" w:rsidR="00560962" w:rsidRPr="00560962" w:rsidRDefault="00560962" w:rsidP="00560962">
      <w:pPr>
        <w:pStyle w:val="ListParagraph"/>
        <w:numPr>
          <w:ilvl w:val="0"/>
          <w:numId w:val="42"/>
        </w:numPr>
        <w:jc w:val="both"/>
        <w:rPr>
          <w:sz w:val="24"/>
          <w:szCs w:val="24"/>
        </w:rPr>
      </w:pPr>
      <w:r w:rsidRPr="00560962">
        <w:rPr>
          <w:sz w:val="24"/>
          <w:szCs w:val="24"/>
        </w:rPr>
        <w:t>Ability to undertake research and records appraisal and description projects.</w:t>
      </w:r>
    </w:p>
    <w:p w14:paraId="69B8BB6F" w14:textId="77777777" w:rsidR="00560962" w:rsidRPr="00560962" w:rsidRDefault="00560962" w:rsidP="00560962">
      <w:pPr>
        <w:pStyle w:val="ListParagraph"/>
        <w:numPr>
          <w:ilvl w:val="0"/>
          <w:numId w:val="42"/>
        </w:numPr>
        <w:jc w:val="both"/>
        <w:rPr>
          <w:sz w:val="24"/>
          <w:szCs w:val="24"/>
        </w:rPr>
      </w:pPr>
      <w:r w:rsidRPr="00560962">
        <w:rPr>
          <w:sz w:val="24"/>
          <w:szCs w:val="24"/>
        </w:rPr>
        <w:t>Ability to develop and monitor service delivery procedures.</w:t>
      </w:r>
    </w:p>
    <w:p w14:paraId="6EFB6E75" w14:textId="77777777" w:rsidR="00560962" w:rsidRPr="00560962" w:rsidRDefault="00560962" w:rsidP="00560962">
      <w:pPr>
        <w:pStyle w:val="ListParagraph"/>
        <w:numPr>
          <w:ilvl w:val="0"/>
          <w:numId w:val="42"/>
        </w:numPr>
        <w:jc w:val="both"/>
        <w:rPr>
          <w:sz w:val="24"/>
          <w:szCs w:val="24"/>
        </w:rPr>
      </w:pPr>
      <w:r w:rsidRPr="00560962">
        <w:rPr>
          <w:sz w:val="24"/>
          <w:szCs w:val="24"/>
        </w:rPr>
        <w:t>Proven capacities of initiative, judgement, planning and organisation and analysis skills.</w:t>
      </w:r>
    </w:p>
    <w:p w14:paraId="3EC9763D" w14:textId="77777777" w:rsidR="00560962" w:rsidRPr="00560962" w:rsidRDefault="00560962" w:rsidP="00560962">
      <w:pPr>
        <w:pStyle w:val="ListParagraph"/>
        <w:numPr>
          <w:ilvl w:val="0"/>
          <w:numId w:val="42"/>
        </w:numPr>
        <w:jc w:val="both"/>
        <w:rPr>
          <w:sz w:val="24"/>
          <w:szCs w:val="24"/>
        </w:rPr>
      </w:pPr>
      <w:r w:rsidRPr="00560962">
        <w:rPr>
          <w:sz w:val="24"/>
          <w:szCs w:val="24"/>
        </w:rPr>
        <w:t>Proven information and communications technology skills and knowledge of archival automation systems.</w:t>
      </w:r>
    </w:p>
    <w:p w14:paraId="54C60E78" w14:textId="77777777" w:rsidR="00360CDB" w:rsidRDefault="00360CDB" w:rsidP="00360CDB">
      <w:pPr>
        <w:pStyle w:val="Heading2"/>
      </w:pPr>
      <w:r w:rsidRPr="00DA1BA1">
        <w:t>Requirements</w:t>
      </w:r>
    </w:p>
    <w:p w14:paraId="4D25F1BA" w14:textId="77777777" w:rsidR="00653BB7" w:rsidRPr="00370004" w:rsidRDefault="00653BB7" w:rsidP="00560962">
      <w:pPr>
        <w:spacing w:after="15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2CDF47B3"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43B74822" w14:textId="77777777" w:rsidR="00E432FB" w:rsidRDefault="004E5DAC" w:rsidP="00E432FB">
            <w:r w:rsidRPr="00DA1BA1">
              <w:rPr>
                <w:b/>
              </w:rPr>
              <w:t>Essential</w:t>
            </w:r>
          </w:p>
        </w:tc>
        <w:tc>
          <w:tcPr>
            <w:tcW w:w="7820" w:type="dxa"/>
          </w:tcPr>
          <w:p w14:paraId="695718D7" w14:textId="77777777" w:rsidR="004B06B8" w:rsidRPr="0045643D" w:rsidRDefault="004B06B8" w:rsidP="004B06B8">
            <w:pPr>
              <w:numPr>
                <w:ilvl w:val="0"/>
                <w:numId w:val="32"/>
              </w:numPr>
              <w:spacing w:before="60" w:after="60"/>
              <w:jc w:val="both"/>
              <w:rPr>
                <w:rFonts w:eastAsia="Times New Roman"/>
                <w:sz w:val="24"/>
                <w:szCs w:val="24"/>
              </w:rPr>
            </w:pPr>
            <w:r w:rsidRPr="0045643D">
              <w:rPr>
                <w:rFonts w:eastAsia="Times New Roman"/>
                <w:sz w:val="24"/>
                <w:szCs w:val="24"/>
              </w:rPr>
              <w:t xml:space="preserve">The </w:t>
            </w:r>
            <w:r w:rsidRPr="0045643D">
              <w:rPr>
                <w:rFonts w:eastAsia="Times New Roman"/>
                <w:i/>
                <w:iCs/>
                <w:sz w:val="24"/>
                <w:szCs w:val="24"/>
              </w:rPr>
              <w:t xml:space="preserve">Registration to Work with Vulnerable People Act 2013 </w:t>
            </w:r>
            <w:r w:rsidRPr="0045643D">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45643D">
              <w:rPr>
                <w:rFonts w:eastAsia="Times New Roman"/>
                <w:sz w:val="24"/>
                <w:szCs w:val="24"/>
              </w:rPr>
              <w:t>remain current and valid at all times</w:t>
            </w:r>
            <w:proofErr w:type="gramEnd"/>
            <w:r w:rsidRPr="0045643D">
              <w:rPr>
                <w:rFonts w:eastAsia="Times New Roman"/>
                <w:sz w:val="24"/>
                <w:szCs w:val="24"/>
              </w:rPr>
              <w:t xml:space="preserve"> whilst employed in this role and the status of this may be checked at any time during employment.</w:t>
            </w:r>
          </w:p>
          <w:p w14:paraId="4D60DDCD" w14:textId="77777777" w:rsidR="004B06B8" w:rsidRPr="0045643D" w:rsidRDefault="004B06B8" w:rsidP="004B06B8">
            <w:pPr>
              <w:numPr>
                <w:ilvl w:val="1"/>
                <w:numId w:val="32"/>
              </w:numPr>
              <w:spacing w:before="0" w:after="0"/>
              <w:contextualSpacing/>
              <w:jc w:val="both"/>
              <w:rPr>
                <w:rFonts w:eastAsia="Calibri" w:cs="Arial"/>
                <w:sz w:val="24"/>
                <w:szCs w:val="24"/>
              </w:rPr>
            </w:pPr>
            <w:r w:rsidRPr="0045643D">
              <w:rPr>
                <w:rFonts w:eastAsia="Calibri"/>
                <w:sz w:val="24"/>
                <w:szCs w:val="24"/>
              </w:rPr>
              <w:t>Current Tasmanian Registration to Work with Vulnerable People (Registration Status – Employment)</w:t>
            </w:r>
          </w:p>
          <w:p w14:paraId="6B7CC6B0" w14:textId="2929CAC1" w:rsidR="00E432FB" w:rsidRPr="0045643D" w:rsidRDefault="009838BB" w:rsidP="009838BB">
            <w:pPr>
              <w:pStyle w:val="ListParagraph"/>
              <w:numPr>
                <w:ilvl w:val="0"/>
                <w:numId w:val="32"/>
              </w:numPr>
              <w:spacing w:before="60" w:after="60"/>
              <w:jc w:val="both"/>
              <w:rPr>
                <w:rFonts w:eastAsia="Times New Roman" w:cs="Arial"/>
                <w:bCs/>
                <w:sz w:val="24"/>
                <w:szCs w:val="24"/>
              </w:rPr>
            </w:pPr>
            <w:r w:rsidRPr="0045643D">
              <w:rPr>
                <w:rFonts w:eastAsia="Times New Roman"/>
                <w:sz w:val="24"/>
                <w:szCs w:val="20"/>
              </w:rPr>
              <w:t>Degree from a recognised university or college of advanced education, preferably in history or other relevant study area.</w:t>
            </w:r>
            <w:r w:rsidR="004B06B8" w:rsidRPr="0045643D">
              <w:rPr>
                <w:rFonts w:eastAsia="Times New Roman"/>
                <w:sz w:val="24"/>
                <w:szCs w:val="24"/>
              </w:rPr>
              <w:t xml:space="preserve"> </w:t>
            </w:r>
          </w:p>
        </w:tc>
      </w:tr>
      <w:tr w:rsidR="0026062E" w14:paraId="1AD78C8F" w14:textId="77777777" w:rsidTr="00D36343">
        <w:tc>
          <w:tcPr>
            <w:tcW w:w="1752" w:type="dxa"/>
          </w:tcPr>
          <w:p w14:paraId="0CCE57F3" w14:textId="77777777" w:rsidR="0026062E" w:rsidRPr="00DA1BA1" w:rsidRDefault="0026062E" w:rsidP="00E432FB">
            <w:pPr>
              <w:rPr>
                <w:b/>
              </w:rPr>
            </w:pPr>
            <w:r w:rsidRPr="00DA1BA1">
              <w:rPr>
                <w:b/>
              </w:rPr>
              <w:t>Desirable</w:t>
            </w:r>
          </w:p>
        </w:tc>
        <w:tc>
          <w:tcPr>
            <w:tcW w:w="7820" w:type="dxa"/>
          </w:tcPr>
          <w:p w14:paraId="15E55AC2" w14:textId="024F1BC5" w:rsidR="0026062E" w:rsidRPr="0006642C" w:rsidRDefault="0045643D" w:rsidP="00653BB7">
            <w:pPr>
              <w:pStyle w:val="ListParagraph"/>
              <w:numPr>
                <w:ilvl w:val="0"/>
                <w:numId w:val="32"/>
              </w:numPr>
              <w:spacing w:line="259" w:lineRule="auto"/>
              <w:contextualSpacing/>
              <w:rPr>
                <w:rFonts w:eastAsia="Times New Roman"/>
              </w:rPr>
            </w:pPr>
            <w:r w:rsidRPr="0045643D">
              <w:rPr>
                <w:rFonts w:eastAsia="Times New Roman"/>
                <w:sz w:val="24"/>
                <w:szCs w:val="20"/>
              </w:rPr>
              <w:t>Relevant post-graduate qualifications and/or experience.</w:t>
            </w:r>
          </w:p>
        </w:tc>
      </w:tr>
    </w:tbl>
    <w:p w14:paraId="5A3819BF"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35409F63"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0B2F5B21"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32C7C360"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349F112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5562698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3B781247"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0861EF4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30256D8E"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26E8B69B"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48B21FDD"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747D4D07"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06010D64"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716B74F1" w14:textId="77777777" w:rsidR="00A23956" w:rsidRPr="00CA664C" w:rsidRDefault="00307663" w:rsidP="0045643D">
      <w:pPr>
        <w:spacing w:before="840"/>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4272238F" w14:textId="77777777" w:rsidR="00A23956" w:rsidRPr="00D402A1" w:rsidRDefault="00A23956" w:rsidP="00307663">
      <w:pPr>
        <w:pStyle w:val="Heading2"/>
        <w:jc w:val="both"/>
      </w:pPr>
      <w:r w:rsidRPr="00D402A1">
        <w:t>State Service Principles and Code of Conduct</w:t>
      </w:r>
    </w:p>
    <w:p w14:paraId="2FCAEEE8"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173BF879"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72B80AA7"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197D9A90" w14:textId="77777777" w:rsidR="00FC6EE1" w:rsidRPr="00616D82" w:rsidRDefault="00FC6EE1" w:rsidP="00307663">
      <w:pPr>
        <w:pStyle w:val="Heading2"/>
        <w:jc w:val="both"/>
      </w:pPr>
      <w:r w:rsidRPr="00616D82">
        <w:t xml:space="preserve">Work Health and Safety </w:t>
      </w:r>
    </w:p>
    <w:p w14:paraId="029F3D64"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3202C5D9"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2F6CE93B"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003C4D49" w14:textId="77777777" w:rsidR="00FC6EE1" w:rsidRPr="001033DF" w:rsidRDefault="00FC6EE1" w:rsidP="00307663">
      <w:pPr>
        <w:pStyle w:val="Heading2"/>
        <w:jc w:val="both"/>
      </w:pPr>
      <w:r w:rsidRPr="001033DF">
        <w:t>Information &amp; Records Management and Confidentiality</w:t>
      </w:r>
    </w:p>
    <w:p w14:paraId="246D9C9F"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1C1E54F6"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52AE1105"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ACFDABC"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13074A0C" w14:textId="77777777" w:rsidR="00FC6EE1" w:rsidRPr="00CA664C" w:rsidRDefault="00FC6EE1" w:rsidP="0045643D">
      <w:pPr>
        <w:spacing w:before="600" w:after="0"/>
        <w:jc w:val="both"/>
        <w:rPr>
          <w:rFonts w:eastAsia="Times New Roman"/>
          <w:sz w:val="24"/>
          <w:szCs w:val="24"/>
        </w:rPr>
      </w:pPr>
      <w:r w:rsidRPr="00CA664C">
        <w:rPr>
          <w:rFonts w:eastAsia="Times New Roman"/>
          <w:sz w:val="24"/>
          <w:szCs w:val="24"/>
        </w:rPr>
        <w:t>All employees must not:</w:t>
      </w:r>
    </w:p>
    <w:p w14:paraId="19B069A1"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1FD112F7"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32D16087" w14:textId="77777777" w:rsidR="00FC6EE1" w:rsidRPr="001033DF" w:rsidRDefault="00FC6EE1" w:rsidP="00307663">
      <w:pPr>
        <w:pStyle w:val="Heading2"/>
        <w:jc w:val="both"/>
      </w:pPr>
      <w:r w:rsidRPr="001033DF">
        <w:t>Delegations</w:t>
      </w:r>
    </w:p>
    <w:p w14:paraId="2570E9DF"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77C8C6C8"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6C7EDE64" w14:textId="77777777" w:rsidR="00FC6EE1" w:rsidRPr="001033DF" w:rsidRDefault="00FC6EE1" w:rsidP="00307663">
      <w:pPr>
        <w:pStyle w:val="Heading2"/>
        <w:jc w:val="both"/>
      </w:pPr>
      <w:r w:rsidRPr="001033DF">
        <w:t>Fraud Management</w:t>
      </w:r>
    </w:p>
    <w:p w14:paraId="5A26865B"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12FD3DC8"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343145E8" w14:textId="77777777" w:rsidTr="0037723F">
        <w:trPr>
          <w:trHeight w:val="419"/>
          <w:tblHeader/>
        </w:trPr>
        <w:tc>
          <w:tcPr>
            <w:tcW w:w="9026" w:type="dxa"/>
          </w:tcPr>
          <w:p w14:paraId="1837EAA4"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355FE4E5" w14:textId="77777777" w:rsidTr="0037723F">
        <w:trPr>
          <w:trHeight w:val="1393"/>
        </w:trPr>
        <w:tc>
          <w:tcPr>
            <w:tcW w:w="9026" w:type="dxa"/>
            <w:vAlign w:val="center"/>
          </w:tcPr>
          <w:p w14:paraId="6153B530" w14:textId="77777777" w:rsidR="0037723F" w:rsidRPr="00D720EC" w:rsidRDefault="0037723F" w:rsidP="006D6A31">
            <w:pPr>
              <w:rPr>
                <w:rFonts w:cs="Arial"/>
                <w:b/>
              </w:rPr>
            </w:pPr>
            <w:r w:rsidRPr="00D720EC">
              <w:rPr>
                <w:rFonts w:cs="Arial"/>
                <w:b/>
              </w:rPr>
              <w:t xml:space="preserve">HR Office use only: </w:t>
            </w:r>
          </w:p>
          <w:p w14:paraId="635ADF75"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03B705C" w14:textId="474A30B4" w:rsidR="0037723F" w:rsidRPr="00D720EC" w:rsidRDefault="0037723F" w:rsidP="006D6A31">
            <w:pPr>
              <w:tabs>
                <w:tab w:val="left" w:pos="180"/>
              </w:tabs>
              <w:rPr>
                <w:rFonts w:cs="Arial"/>
              </w:rPr>
            </w:pPr>
            <w:r w:rsidRPr="00D720EC">
              <w:rPr>
                <w:rFonts w:cs="Arial"/>
              </w:rPr>
              <w:t xml:space="preserve">Request: </w:t>
            </w:r>
            <w:r w:rsidR="003B2551">
              <w:rPr>
                <w:rFonts w:cs="Arial"/>
              </w:rPr>
              <w:t>7010673</w:t>
            </w:r>
          </w:p>
          <w:p w14:paraId="73523FA0"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3ADD0420"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66CB" w14:textId="77777777" w:rsidR="00D0365A" w:rsidRDefault="00D0365A" w:rsidP="00E93B9E">
      <w:pPr>
        <w:spacing w:after="0"/>
      </w:pPr>
      <w:r>
        <w:separator/>
      </w:r>
    </w:p>
  </w:endnote>
  <w:endnote w:type="continuationSeparator" w:id="0">
    <w:p w14:paraId="6950F2A5" w14:textId="77777777" w:rsidR="00D0365A" w:rsidRDefault="00D0365A"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35C" w14:textId="77777777" w:rsidR="000D4346" w:rsidRDefault="000D4346">
    <w:pPr>
      <w:pStyle w:val="Footer"/>
      <w:rPr>
        <w:rStyle w:val="DepartmentofEducation"/>
      </w:rPr>
    </w:pPr>
  </w:p>
  <w:p w14:paraId="357A07C1" w14:textId="77777777" w:rsidR="000D4346" w:rsidRDefault="000D4346">
    <w:pPr>
      <w:pStyle w:val="Footer"/>
      <w:rPr>
        <w:rStyle w:val="DepartmentofEducation"/>
      </w:rPr>
    </w:pPr>
  </w:p>
  <w:p w14:paraId="25884DF5" w14:textId="77777777" w:rsidR="000D4346" w:rsidRDefault="000D4346">
    <w:pPr>
      <w:pStyle w:val="Footer"/>
      <w:rPr>
        <w:rStyle w:val="DepartmentofEducation"/>
      </w:rPr>
    </w:pPr>
    <w:r>
      <w:rPr>
        <w:rStyle w:val="DepartmentofEducation"/>
      </w:rPr>
      <w:br/>
    </w:r>
  </w:p>
  <w:p w14:paraId="7923777B"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121C0FE2" wp14:editId="599A095F">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0C87"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EBB7A19" w14:textId="77777777" w:rsidR="001870EB" w:rsidRPr="00B41B36" w:rsidRDefault="001870EB" w:rsidP="00B41B36">
    <w:pPr>
      <w:pStyle w:val="FooterNote"/>
      <w:tabs>
        <w:tab w:val="left" w:pos="709"/>
      </w:tabs>
      <w:spacing w:line="240" w:lineRule="auto"/>
    </w:pPr>
    <w:r>
      <w:tab/>
    </w:r>
  </w:p>
  <w:p w14:paraId="5947EFDD"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72D2FF77" wp14:editId="239F6F25">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EABF" w14:textId="77777777" w:rsidR="00D0365A" w:rsidRDefault="00D0365A" w:rsidP="00E93B9E">
      <w:pPr>
        <w:spacing w:after="0"/>
      </w:pPr>
      <w:r>
        <w:separator/>
      </w:r>
    </w:p>
  </w:footnote>
  <w:footnote w:type="continuationSeparator" w:id="0">
    <w:p w14:paraId="35B86596" w14:textId="77777777" w:rsidR="00D0365A" w:rsidRDefault="00D0365A"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5A1E"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4E4DDF97" wp14:editId="1C8793B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183B0151" wp14:editId="2AAE437D">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7A5FDBB0" wp14:editId="4A7BE181">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0D86E15E" wp14:editId="0A807BEA">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7E1E6C49" wp14:editId="702D3A22">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E855" w14:textId="77777777" w:rsidR="000D4346" w:rsidRDefault="00131297">
    <w:pPr>
      <w:pStyle w:val="Header"/>
    </w:pPr>
    <w:r>
      <w:rPr>
        <w:noProof/>
      </w:rPr>
      <w:drawing>
        <wp:anchor distT="0" distB="0" distL="114300" distR="114300" simplePos="0" relativeHeight="251665408" behindDoc="0" locked="0" layoutInCell="1" allowOverlap="1" wp14:anchorId="05666B2A" wp14:editId="4529E214">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6F"/>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345D9"/>
    <w:rsid w:val="00243DF2"/>
    <w:rsid w:val="002522DD"/>
    <w:rsid w:val="0026062E"/>
    <w:rsid w:val="002900B1"/>
    <w:rsid w:val="00291D7A"/>
    <w:rsid w:val="002942F8"/>
    <w:rsid w:val="00297AAE"/>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B2551"/>
    <w:rsid w:val="003C15EB"/>
    <w:rsid w:val="003C748E"/>
    <w:rsid w:val="003D37E6"/>
    <w:rsid w:val="003E543A"/>
    <w:rsid w:val="003F48C4"/>
    <w:rsid w:val="003F78ED"/>
    <w:rsid w:val="0040340A"/>
    <w:rsid w:val="004455FA"/>
    <w:rsid w:val="00454A22"/>
    <w:rsid w:val="0045643D"/>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0962"/>
    <w:rsid w:val="00561EC8"/>
    <w:rsid w:val="00575427"/>
    <w:rsid w:val="0057614B"/>
    <w:rsid w:val="005910A6"/>
    <w:rsid w:val="00591873"/>
    <w:rsid w:val="005A3E07"/>
    <w:rsid w:val="005B0E08"/>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3311D"/>
    <w:rsid w:val="007503DC"/>
    <w:rsid w:val="007607BF"/>
    <w:rsid w:val="00761157"/>
    <w:rsid w:val="007A4FF5"/>
    <w:rsid w:val="007A7845"/>
    <w:rsid w:val="007B1CDA"/>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16D6F"/>
    <w:rsid w:val="0094083D"/>
    <w:rsid w:val="009456F9"/>
    <w:rsid w:val="009458E9"/>
    <w:rsid w:val="00954C08"/>
    <w:rsid w:val="00974C49"/>
    <w:rsid w:val="009838BB"/>
    <w:rsid w:val="00984F64"/>
    <w:rsid w:val="009B2739"/>
    <w:rsid w:val="009B3564"/>
    <w:rsid w:val="009B41A2"/>
    <w:rsid w:val="009B4D8E"/>
    <w:rsid w:val="009F2312"/>
    <w:rsid w:val="009F7CE1"/>
    <w:rsid w:val="00A2353B"/>
    <w:rsid w:val="00A23956"/>
    <w:rsid w:val="00A27A83"/>
    <w:rsid w:val="00A43FB8"/>
    <w:rsid w:val="00A46A14"/>
    <w:rsid w:val="00A47BD3"/>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84D96"/>
    <w:rsid w:val="00C932EB"/>
    <w:rsid w:val="00C96E08"/>
    <w:rsid w:val="00CA664C"/>
    <w:rsid w:val="00CB1318"/>
    <w:rsid w:val="00CB2562"/>
    <w:rsid w:val="00CD0804"/>
    <w:rsid w:val="00CD4C92"/>
    <w:rsid w:val="00CE5E8E"/>
    <w:rsid w:val="00CF1882"/>
    <w:rsid w:val="00CF3212"/>
    <w:rsid w:val="00D00E93"/>
    <w:rsid w:val="00D0365A"/>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3584E"/>
    <w:rsid w:val="00F4032D"/>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A475"/>
  <w15:docId w15:val="{24EFAF9D-0760-46A9-9081-B32B4202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5.xml><?xml version="1.0" encoding="utf-8"?>
<ds:datastoreItem xmlns:ds="http://schemas.openxmlformats.org/officeDocument/2006/customXml" ds:itemID="{416AACAF-C79F-49AD-91B9-669C4C9BCD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1</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evelyn.richardson</dc:creator>
  <cp:keywords/>
  <dc:description/>
  <cp:lastModifiedBy>Doyle, Ellie</cp:lastModifiedBy>
  <cp:revision>2</cp:revision>
  <cp:lastPrinted>2023-02-21T03:09:00Z</cp:lastPrinted>
  <dcterms:created xsi:type="dcterms:W3CDTF">2023-05-29T00:29:00Z</dcterms:created>
  <dcterms:modified xsi:type="dcterms:W3CDTF">2023-05-29T00:29:00Z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