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02C0" w14:textId="77777777" w:rsidR="00186DA5" w:rsidRPr="008C3A3F" w:rsidRDefault="00154BEB" w:rsidP="00A63C21">
      <w:pPr>
        <w:pStyle w:val="Title"/>
        <w:rPr>
          <w:rFonts w:ascii="Gill Sans MT" w:hAnsi="Gill Sans MT"/>
          <w:spacing w:val="30"/>
          <w:sz w:val="28"/>
          <w:szCs w:val="28"/>
        </w:rPr>
      </w:pPr>
      <w:r>
        <w:rPr>
          <w:rFonts w:ascii="Gill Sans MT" w:hAnsi="Gill Sans MT"/>
          <w:spacing w:val="30"/>
          <w:sz w:val="28"/>
          <w:szCs w:val="28"/>
        </w:rPr>
        <w:t xml:space="preserve"> </w:t>
      </w:r>
      <w:r w:rsidR="00186DA5" w:rsidRPr="008C3A3F">
        <w:rPr>
          <w:rFonts w:ascii="Gill Sans MT" w:hAnsi="Gill Sans MT"/>
          <w:spacing w:val="30"/>
          <w:sz w:val="28"/>
          <w:szCs w:val="28"/>
        </w:rPr>
        <w:t>Department of Education</w:t>
      </w:r>
    </w:p>
    <w:p w14:paraId="5C094342" w14:textId="77777777" w:rsidR="00186DA5" w:rsidRPr="008C3A3F" w:rsidRDefault="00186DA5" w:rsidP="002A70D0">
      <w:pPr>
        <w:pStyle w:val="Heading1"/>
      </w:pPr>
      <w:r w:rsidRPr="008C3A3F">
        <w:t xml:space="preserve">STATEMENT OF </w:t>
      </w:r>
      <w:r w:rsidRPr="002A70D0">
        <w:t>DUTIES</w:t>
      </w:r>
      <w:r w:rsidRPr="008C3A3F">
        <w:t xml:space="preserve"> – </w:t>
      </w:r>
      <w:r w:rsidR="00EC5697">
        <w:t>August</w:t>
      </w:r>
      <w:r w:rsidR="00C20D9D">
        <w:t xml:space="preserve"> 201</w:t>
      </w:r>
      <w:r w:rsidR="00F923BA">
        <w:t>3</w:t>
      </w:r>
    </w:p>
    <w:tbl>
      <w:tblPr>
        <w:tblW w:w="9826" w:type="dxa"/>
        <w:tblInd w:w="108" w:type="dxa"/>
        <w:tblLayout w:type="fixed"/>
        <w:tblLook w:val="0000" w:firstRow="0" w:lastRow="0" w:firstColumn="0" w:lastColumn="0" w:noHBand="0" w:noVBand="0"/>
      </w:tblPr>
      <w:tblGrid>
        <w:gridCol w:w="3261"/>
        <w:gridCol w:w="6565"/>
      </w:tblGrid>
      <w:tr w:rsidR="00186DA5" w:rsidRPr="00083236" w14:paraId="04F99721" w14:textId="77777777" w:rsidTr="00766E95">
        <w:trPr>
          <w:cantSplit/>
          <w:tblHeader/>
        </w:trPr>
        <w:tc>
          <w:tcPr>
            <w:tcW w:w="3261" w:type="dxa"/>
          </w:tcPr>
          <w:p w14:paraId="6A662E10" w14:textId="77777777" w:rsidR="00186DA5" w:rsidRPr="006B7328" w:rsidRDefault="00186DA5" w:rsidP="006B7328">
            <w:pPr>
              <w:jc w:val="right"/>
              <w:rPr>
                <w:b/>
              </w:rPr>
            </w:pPr>
            <w:r w:rsidRPr="006B7328">
              <w:rPr>
                <w:b/>
              </w:rPr>
              <w:t>Title</w:t>
            </w:r>
          </w:p>
        </w:tc>
        <w:tc>
          <w:tcPr>
            <w:tcW w:w="6565" w:type="dxa"/>
          </w:tcPr>
          <w:p w14:paraId="6D021C03" w14:textId="77777777" w:rsidR="00186DA5" w:rsidRPr="005221C2" w:rsidRDefault="00C64516" w:rsidP="00F17215">
            <w:pPr>
              <w:spacing w:before="60" w:after="60"/>
              <w:rPr>
                <w:bCs/>
              </w:rPr>
            </w:pPr>
            <w:r>
              <w:t xml:space="preserve">Administrative </w:t>
            </w:r>
            <w:r w:rsidR="00F17215">
              <w:t xml:space="preserve">Assistant </w:t>
            </w:r>
          </w:p>
        </w:tc>
      </w:tr>
      <w:tr w:rsidR="00186DA5" w:rsidRPr="00083236" w14:paraId="375F9DE5" w14:textId="77777777" w:rsidTr="00766E95">
        <w:trPr>
          <w:cantSplit/>
          <w:tblHeader/>
        </w:trPr>
        <w:tc>
          <w:tcPr>
            <w:tcW w:w="3261" w:type="dxa"/>
          </w:tcPr>
          <w:p w14:paraId="76278029" w14:textId="77777777" w:rsidR="00186DA5" w:rsidRPr="006B7328" w:rsidRDefault="00186DA5" w:rsidP="006B7328">
            <w:pPr>
              <w:jc w:val="right"/>
              <w:rPr>
                <w:b/>
              </w:rPr>
            </w:pPr>
            <w:r w:rsidRPr="006B7328">
              <w:rPr>
                <w:b/>
              </w:rPr>
              <w:t>Number</w:t>
            </w:r>
          </w:p>
        </w:tc>
        <w:tc>
          <w:tcPr>
            <w:tcW w:w="6565" w:type="dxa"/>
          </w:tcPr>
          <w:p w14:paraId="646CA76B" w14:textId="77777777" w:rsidR="00186DA5" w:rsidRPr="00286BF8" w:rsidRDefault="00C64516" w:rsidP="00A63C21">
            <w:pPr>
              <w:spacing w:before="60" w:after="60"/>
            </w:pPr>
            <w:r>
              <w:t>Generic</w:t>
            </w:r>
          </w:p>
        </w:tc>
      </w:tr>
      <w:tr w:rsidR="00186DA5" w:rsidRPr="00083236" w14:paraId="2F26DBF4" w14:textId="77777777" w:rsidTr="00766E95">
        <w:trPr>
          <w:cantSplit/>
          <w:tblHeader/>
        </w:trPr>
        <w:tc>
          <w:tcPr>
            <w:tcW w:w="3261" w:type="dxa"/>
          </w:tcPr>
          <w:p w14:paraId="6A3934DA" w14:textId="77777777" w:rsidR="00186DA5" w:rsidRPr="006B7328" w:rsidRDefault="00186DA5" w:rsidP="006B7328">
            <w:pPr>
              <w:jc w:val="right"/>
              <w:rPr>
                <w:b/>
                <w:szCs w:val="24"/>
              </w:rPr>
            </w:pPr>
            <w:r w:rsidRPr="006B7328">
              <w:rPr>
                <w:b/>
                <w:szCs w:val="24"/>
              </w:rPr>
              <w:t>Division</w:t>
            </w:r>
          </w:p>
        </w:tc>
        <w:tc>
          <w:tcPr>
            <w:tcW w:w="6565" w:type="dxa"/>
          </w:tcPr>
          <w:p w14:paraId="2FAD8728" w14:textId="77777777" w:rsidR="00186DA5" w:rsidRPr="00286BF8" w:rsidRDefault="005E0BE6" w:rsidP="00A63C21">
            <w:pPr>
              <w:spacing w:before="60" w:after="60"/>
            </w:pPr>
            <w:r w:rsidRPr="00452407">
              <w:rPr>
                <w:bCs/>
                <w:szCs w:val="24"/>
              </w:rPr>
              <w:t>As specified</w:t>
            </w:r>
          </w:p>
        </w:tc>
      </w:tr>
      <w:tr w:rsidR="00186DA5" w:rsidRPr="00083236" w14:paraId="385BE062" w14:textId="77777777" w:rsidTr="00766E95">
        <w:trPr>
          <w:cantSplit/>
          <w:tblHeader/>
        </w:trPr>
        <w:tc>
          <w:tcPr>
            <w:tcW w:w="3261" w:type="dxa"/>
          </w:tcPr>
          <w:p w14:paraId="00D0F1FE" w14:textId="77777777" w:rsidR="00186DA5" w:rsidRPr="006B7328" w:rsidRDefault="00186DA5" w:rsidP="006B7328">
            <w:pPr>
              <w:jc w:val="right"/>
              <w:rPr>
                <w:b/>
                <w:szCs w:val="24"/>
              </w:rPr>
            </w:pPr>
            <w:r w:rsidRPr="006B7328">
              <w:rPr>
                <w:b/>
                <w:szCs w:val="24"/>
              </w:rPr>
              <w:t>Branch</w:t>
            </w:r>
          </w:p>
        </w:tc>
        <w:tc>
          <w:tcPr>
            <w:tcW w:w="6565" w:type="dxa"/>
          </w:tcPr>
          <w:p w14:paraId="6AE04249" w14:textId="77777777" w:rsidR="00186DA5" w:rsidRPr="00286BF8" w:rsidRDefault="005E0BE6" w:rsidP="006C4FDA">
            <w:pPr>
              <w:spacing w:before="60" w:after="60"/>
            </w:pPr>
            <w:r w:rsidRPr="00452407">
              <w:rPr>
                <w:bCs/>
                <w:szCs w:val="24"/>
              </w:rPr>
              <w:t>As specified</w:t>
            </w:r>
          </w:p>
        </w:tc>
      </w:tr>
      <w:tr w:rsidR="00186DA5" w:rsidRPr="00083236" w14:paraId="5F533A48" w14:textId="77777777" w:rsidTr="00766E95">
        <w:trPr>
          <w:cantSplit/>
          <w:tblHeader/>
        </w:trPr>
        <w:tc>
          <w:tcPr>
            <w:tcW w:w="3261" w:type="dxa"/>
          </w:tcPr>
          <w:p w14:paraId="37BBEA57" w14:textId="77777777" w:rsidR="00186DA5" w:rsidRPr="006B7328" w:rsidRDefault="00186DA5" w:rsidP="006B7328">
            <w:pPr>
              <w:jc w:val="right"/>
              <w:rPr>
                <w:b/>
                <w:szCs w:val="24"/>
              </w:rPr>
            </w:pPr>
            <w:r w:rsidRPr="006B7328">
              <w:rPr>
                <w:b/>
                <w:szCs w:val="24"/>
              </w:rPr>
              <w:t>Section</w:t>
            </w:r>
          </w:p>
        </w:tc>
        <w:tc>
          <w:tcPr>
            <w:tcW w:w="6565" w:type="dxa"/>
          </w:tcPr>
          <w:p w14:paraId="3F19E42C" w14:textId="77777777" w:rsidR="00186DA5" w:rsidRPr="00286BF8" w:rsidRDefault="005E0BE6" w:rsidP="00A63C21">
            <w:pPr>
              <w:spacing w:before="60" w:after="60"/>
            </w:pPr>
            <w:r w:rsidRPr="00452407">
              <w:rPr>
                <w:bCs/>
                <w:szCs w:val="24"/>
              </w:rPr>
              <w:t>As specified</w:t>
            </w:r>
          </w:p>
        </w:tc>
      </w:tr>
      <w:tr w:rsidR="00186DA5" w:rsidRPr="00083236" w14:paraId="365B317F" w14:textId="77777777" w:rsidTr="00766E95">
        <w:trPr>
          <w:cantSplit/>
          <w:tblHeader/>
        </w:trPr>
        <w:tc>
          <w:tcPr>
            <w:tcW w:w="3261" w:type="dxa"/>
          </w:tcPr>
          <w:p w14:paraId="16EFD53E" w14:textId="77777777" w:rsidR="00186DA5" w:rsidRPr="006B7328" w:rsidRDefault="00186DA5" w:rsidP="006B7328">
            <w:pPr>
              <w:jc w:val="right"/>
              <w:rPr>
                <w:b/>
                <w:szCs w:val="24"/>
              </w:rPr>
            </w:pPr>
            <w:r w:rsidRPr="006B7328">
              <w:rPr>
                <w:b/>
                <w:szCs w:val="24"/>
              </w:rPr>
              <w:t>Sub-Section/Unit/School</w:t>
            </w:r>
          </w:p>
        </w:tc>
        <w:tc>
          <w:tcPr>
            <w:tcW w:w="6565" w:type="dxa"/>
          </w:tcPr>
          <w:p w14:paraId="09D47362" w14:textId="77777777" w:rsidR="00186DA5" w:rsidRPr="00286BF8" w:rsidRDefault="005E0BE6" w:rsidP="00A63C21">
            <w:pPr>
              <w:spacing w:before="60" w:after="60"/>
            </w:pPr>
            <w:r w:rsidRPr="00452407">
              <w:rPr>
                <w:bCs/>
                <w:szCs w:val="24"/>
              </w:rPr>
              <w:t>As specified</w:t>
            </w:r>
          </w:p>
        </w:tc>
      </w:tr>
      <w:tr w:rsidR="00186DA5" w:rsidRPr="00083236" w14:paraId="03D3B212" w14:textId="77777777" w:rsidTr="00766E95">
        <w:trPr>
          <w:cantSplit/>
          <w:tblHeader/>
        </w:trPr>
        <w:tc>
          <w:tcPr>
            <w:tcW w:w="3261" w:type="dxa"/>
          </w:tcPr>
          <w:p w14:paraId="6386A622" w14:textId="77777777" w:rsidR="00186DA5" w:rsidRPr="006B7328" w:rsidRDefault="00186DA5" w:rsidP="006B7328">
            <w:pPr>
              <w:jc w:val="right"/>
              <w:rPr>
                <w:b/>
              </w:rPr>
            </w:pPr>
            <w:r w:rsidRPr="006B7328">
              <w:rPr>
                <w:b/>
              </w:rPr>
              <w:t>Supervisor</w:t>
            </w:r>
          </w:p>
        </w:tc>
        <w:tc>
          <w:tcPr>
            <w:tcW w:w="6565" w:type="dxa"/>
          </w:tcPr>
          <w:p w14:paraId="3FA04DC1" w14:textId="77777777" w:rsidR="00186DA5" w:rsidRPr="00286BF8" w:rsidRDefault="005E0BE6" w:rsidP="00A63C21">
            <w:pPr>
              <w:spacing w:before="60" w:after="60"/>
            </w:pPr>
            <w:r w:rsidRPr="00452407">
              <w:rPr>
                <w:bCs/>
                <w:szCs w:val="24"/>
              </w:rPr>
              <w:t>As specified</w:t>
            </w:r>
          </w:p>
        </w:tc>
      </w:tr>
      <w:tr w:rsidR="00186DA5" w:rsidRPr="00083236" w14:paraId="7254B390" w14:textId="77777777" w:rsidTr="00766E95">
        <w:trPr>
          <w:cantSplit/>
          <w:tblHeader/>
        </w:trPr>
        <w:tc>
          <w:tcPr>
            <w:tcW w:w="3261" w:type="dxa"/>
          </w:tcPr>
          <w:p w14:paraId="6B62FE8E" w14:textId="77777777" w:rsidR="00186DA5" w:rsidRPr="006B7328" w:rsidRDefault="00186DA5" w:rsidP="006B7328">
            <w:pPr>
              <w:jc w:val="right"/>
              <w:rPr>
                <w:b/>
              </w:rPr>
            </w:pPr>
            <w:r w:rsidRPr="006B7328">
              <w:rPr>
                <w:b/>
              </w:rPr>
              <w:t>Award/Agreement</w:t>
            </w:r>
          </w:p>
        </w:tc>
        <w:tc>
          <w:tcPr>
            <w:tcW w:w="6565" w:type="dxa"/>
          </w:tcPr>
          <w:p w14:paraId="4FCC7942" w14:textId="77777777" w:rsidR="00186DA5" w:rsidRPr="00286BF8" w:rsidRDefault="005A0058" w:rsidP="00A63C21">
            <w:pPr>
              <w:spacing w:before="60" w:after="60"/>
            </w:pPr>
            <w:r w:rsidRPr="00286BF8">
              <w:t>Tasmanian State Service Award</w:t>
            </w:r>
          </w:p>
        </w:tc>
      </w:tr>
      <w:tr w:rsidR="00186DA5" w:rsidRPr="00083236" w14:paraId="0CC623B7" w14:textId="77777777" w:rsidTr="00766E95">
        <w:trPr>
          <w:cantSplit/>
          <w:tblHeader/>
        </w:trPr>
        <w:tc>
          <w:tcPr>
            <w:tcW w:w="3261" w:type="dxa"/>
          </w:tcPr>
          <w:p w14:paraId="36798C4E" w14:textId="77777777" w:rsidR="00186DA5" w:rsidRPr="006B7328" w:rsidRDefault="00186DA5" w:rsidP="006B7328">
            <w:pPr>
              <w:jc w:val="right"/>
              <w:rPr>
                <w:b/>
              </w:rPr>
            </w:pPr>
            <w:r w:rsidRPr="006B7328">
              <w:rPr>
                <w:b/>
              </w:rPr>
              <w:t>Classification</w:t>
            </w:r>
          </w:p>
        </w:tc>
        <w:tc>
          <w:tcPr>
            <w:tcW w:w="6565" w:type="dxa"/>
          </w:tcPr>
          <w:p w14:paraId="700862E0" w14:textId="77777777" w:rsidR="00186DA5" w:rsidRPr="00286BF8" w:rsidRDefault="005221C2" w:rsidP="00C64516">
            <w:pPr>
              <w:spacing w:before="60" w:after="60"/>
            </w:pPr>
            <w:r>
              <w:t xml:space="preserve">General Stream Band </w:t>
            </w:r>
            <w:r w:rsidR="00C64516">
              <w:t>2</w:t>
            </w:r>
          </w:p>
        </w:tc>
      </w:tr>
      <w:tr w:rsidR="00186DA5" w:rsidRPr="00083236" w14:paraId="4553A3FB" w14:textId="77777777" w:rsidTr="00766E95">
        <w:trPr>
          <w:cantSplit/>
          <w:tblHeader/>
        </w:trPr>
        <w:tc>
          <w:tcPr>
            <w:tcW w:w="3261" w:type="dxa"/>
          </w:tcPr>
          <w:p w14:paraId="2854CC2B" w14:textId="77777777" w:rsidR="00186DA5" w:rsidRPr="006B7328" w:rsidRDefault="00186DA5" w:rsidP="006B7328">
            <w:pPr>
              <w:jc w:val="right"/>
              <w:rPr>
                <w:b/>
              </w:rPr>
            </w:pPr>
            <w:r w:rsidRPr="006B7328">
              <w:rPr>
                <w:b/>
              </w:rPr>
              <w:t>Employment Conditions</w:t>
            </w:r>
          </w:p>
        </w:tc>
        <w:tc>
          <w:tcPr>
            <w:tcW w:w="6565" w:type="dxa"/>
          </w:tcPr>
          <w:p w14:paraId="5829594C" w14:textId="77777777" w:rsidR="00186DA5" w:rsidRPr="00CB154A" w:rsidRDefault="00CB154A" w:rsidP="00C64516">
            <w:pPr>
              <w:pStyle w:val="BodyText2"/>
              <w:spacing w:before="60" w:after="60"/>
              <w:rPr>
                <w:rFonts w:ascii="Gill Sans MT" w:hAnsi="Gill Sans MT"/>
                <w:sz w:val="24"/>
                <w:szCs w:val="24"/>
              </w:rPr>
            </w:pPr>
            <w:r>
              <w:rPr>
                <w:rFonts w:ascii="Gill Sans MT" w:hAnsi="Gill Sans MT"/>
                <w:bCs/>
                <w:sz w:val="24"/>
                <w:szCs w:val="24"/>
              </w:rPr>
              <w:t>Permanent or f</w:t>
            </w:r>
            <w:r w:rsidRPr="00CB154A">
              <w:rPr>
                <w:rFonts w:ascii="Gill Sans MT" w:hAnsi="Gill Sans MT"/>
                <w:bCs/>
                <w:sz w:val="24"/>
                <w:szCs w:val="24"/>
              </w:rPr>
              <w:t>ixed-</w:t>
            </w:r>
            <w:r>
              <w:rPr>
                <w:rFonts w:ascii="Gill Sans MT" w:hAnsi="Gill Sans MT"/>
                <w:bCs/>
                <w:sz w:val="24"/>
                <w:szCs w:val="24"/>
              </w:rPr>
              <w:t>t</w:t>
            </w:r>
            <w:r w:rsidRPr="00CB154A">
              <w:rPr>
                <w:rFonts w:ascii="Gill Sans MT" w:hAnsi="Gill Sans MT"/>
                <w:bCs/>
                <w:sz w:val="24"/>
                <w:szCs w:val="24"/>
              </w:rPr>
              <w:t xml:space="preserve">erm, </w:t>
            </w:r>
            <w:r w:rsidR="00C64516">
              <w:rPr>
                <w:rFonts w:ascii="Gill Sans MT" w:hAnsi="Gill Sans MT"/>
                <w:bCs/>
                <w:sz w:val="24"/>
                <w:szCs w:val="24"/>
              </w:rPr>
              <w:t xml:space="preserve">full or part-time, </w:t>
            </w:r>
            <w:r w:rsidRPr="00CB154A">
              <w:rPr>
                <w:rFonts w:ascii="Gill Sans MT" w:hAnsi="Gill Sans MT"/>
                <w:bCs/>
                <w:sz w:val="24"/>
                <w:szCs w:val="24"/>
              </w:rPr>
              <w:t xml:space="preserve">up to </w:t>
            </w:r>
            <w:r w:rsidRPr="00CB154A">
              <w:rPr>
                <w:rFonts w:ascii="Gill Sans MT" w:hAnsi="Gill Sans MT"/>
                <w:sz w:val="24"/>
                <w:szCs w:val="24"/>
              </w:rPr>
              <w:t xml:space="preserve">73.5 hours per fortnight, </w:t>
            </w:r>
            <w:r w:rsidR="00F60E2C">
              <w:rPr>
                <w:rFonts w:ascii="Gill Sans MT" w:hAnsi="Gill Sans MT"/>
                <w:sz w:val="24"/>
                <w:szCs w:val="24"/>
              </w:rPr>
              <w:t xml:space="preserve">up to </w:t>
            </w:r>
            <w:r w:rsidRPr="00CB154A">
              <w:rPr>
                <w:rFonts w:ascii="Gill Sans MT" w:hAnsi="Gill Sans MT"/>
                <w:sz w:val="24"/>
                <w:szCs w:val="24"/>
              </w:rPr>
              <w:t>52 weeks pe</w:t>
            </w:r>
            <w:r w:rsidR="00C64516">
              <w:rPr>
                <w:rFonts w:ascii="Gill Sans MT" w:hAnsi="Gill Sans MT"/>
                <w:sz w:val="24"/>
                <w:szCs w:val="24"/>
              </w:rPr>
              <w:t>r year including 4 weeks annual leave</w:t>
            </w:r>
            <w:r w:rsidRPr="00CB154A">
              <w:rPr>
                <w:rFonts w:ascii="Gill Sans MT" w:hAnsi="Gill Sans MT"/>
                <w:sz w:val="24"/>
                <w:szCs w:val="24"/>
              </w:rPr>
              <w:t>.</w:t>
            </w:r>
          </w:p>
        </w:tc>
      </w:tr>
      <w:tr w:rsidR="00186DA5" w:rsidRPr="00083236" w14:paraId="17C33F4C" w14:textId="77777777" w:rsidTr="00766E95">
        <w:trPr>
          <w:cantSplit/>
          <w:trHeight w:val="194"/>
          <w:tblHeader/>
        </w:trPr>
        <w:tc>
          <w:tcPr>
            <w:tcW w:w="3261" w:type="dxa"/>
          </w:tcPr>
          <w:p w14:paraId="34C6B930" w14:textId="77777777" w:rsidR="00186DA5" w:rsidRPr="006B7328" w:rsidRDefault="00186DA5" w:rsidP="006B7328">
            <w:pPr>
              <w:jc w:val="right"/>
              <w:rPr>
                <w:b/>
                <w:bCs/>
              </w:rPr>
            </w:pPr>
            <w:r w:rsidRPr="006B7328">
              <w:rPr>
                <w:b/>
              </w:rPr>
              <w:t>Location</w:t>
            </w:r>
          </w:p>
        </w:tc>
        <w:tc>
          <w:tcPr>
            <w:tcW w:w="6565" w:type="dxa"/>
          </w:tcPr>
          <w:p w14:paraId="46BB3A95" w14:textId="77777777" w:rsidR="00186DA5" w:rsidRPr="00DC5557" w:rsidRDefault="005E0BE6" w:rsidP="005E7E91">
            <w:pPr>
              <w:spacing w:before="60" w:after="60"/>
            </w:pPr>
            <w:r>
              <w:rPr>
                <w:rFonts w:cs="Arial"/>
                <w:szCs w:val="24"/>
              </w:rPr>
              <w:t>State-wide</w:t>
            </w:r>
          </w:p>
        </w:tc>
      </w:tr>
    </w:tbl>
    <w:p w14:paraId="385FFFEE" w14:textId="77777777" w:rsidR="00186DA5" w:rsidRPr="00083236" w:rsidRDefault="00186DA5" w:rsidP="002A70D0">
      <w:pPr>
        <w:pStyle w:val="Heading2"/>
      </w:pPr>
      <w:r w:rsidRPr="00083236">
        <w:t>The Role</w:t>
      </w:r>
    </w:p>
    <w:p w14:paraId="55EA2593" w14:textId="77777777" w:rsidR="00C54E3F" w:rsidRPr="00C64516" w:rsidRDefault="00C64516" w:rsidP="00B62797">
      <w:pPr>
        <w:rPr>
          <w:szCs w:val="24"/>
        </w:rPr>
      </w:pPr>
      <w:r w:rsidRPr="00C64516">
        <w:rPr>
          <w:szCs w:val="24"/>
        </w:rPr>
        <w:t>To undertake various administrative and clerical duties that support the function of a team or business unit, including providing a client focussed reception service.  Assist with operational processes including the maintenance of databases and related matters</w:t>
      </w:r>
      <w:r w:rsidR="00CB154A" w:rsidRPr="00C64516">
        <w:rPr>
          <w:szCs w:val="24"/>
        </w:rPr>
        <w:t>.</w:t>
      </w:r>
    </w:p>
    <w:p w14:paraId="12B0699F" w14:textId="77777777" w:rsidR="00970C76" w:rsidRDefault="00186DA5" w:rsidP="006B7328">
      <w:pPr>
        <w:pStyle w:val="Heading3"/>
      </w:pPr>
      <w:r w:rsidRPr="004657C1">
        <w:t>Level of Responsibility</w:t>
      </w:r>
      <w:r>
        <w:t>/</w:t>
      </w:r>
      <w:r w:rsidRPr="004657C1">
        <w:t>Direction and Supervision</w:t>
      </w:r>
    </w:p>
    <w:p w14:paraId="14D0BDD9" w14:textId="77777777" w:rsidR="00C64516" w:rsidRPr="00C64516" w:rsidRDefault="00C64516" w:rsidP="002A70D0">
      <w:pPr>
        <w:rPr>
          <w:szCs w:val="24"/>
        </w:rPr>
      </w:pPr>
      <w:r w:rsidRPr="00C64516">
        <w:rPr>
          <w:szCs w:val="24"/>
        </w:rPr>
        <w:t>Directly responsible for the efficient and accurate completion of assigned duties and the achievement of set outcomes.  Able to exercise some discretion, subject to team or business unit requirements.</w:t>
      </w:r>
    </w:p>
    <w:p w14:paraId="270FF371" w14:textId="77777777" w:rsidR="00C64516" w:rsidRPr="00C64516" w:rsidRDefault="00C64516" w:rsidP="002A70D0">
      <w:pPr>
        <w:rPr>
          <w:szCs w:val="24"/>
        </w:rPr>
      </w:pPr>
      <w:r w:rsidRPr="00C64516">
        <w:rPr>
          <w:szCs w:val="24"/>
        </w:rPr>
        <w:t>The occupant operates under routine supervision and general guidance and is expected to use initiative.  Overall direction through immediate supervisor.</w:t>
      </w:r>
    </w:p>
    <w:p w14:paraId="29FB0613" w14:textId="77777777" w:rsidR="00C54E3F" w:rsidRDefault="002A70D0" w:rsidP="002A70D0">
      <w:pPr>
        <w:rPr>
          <w:szCs w:val="24"/>
        </w:rPr>
      </w:pPr>
      <w:r w:rsidRPr="002A70D0">
        <w:rPr>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r w:rsidR="00C54E3F" w:rsidRPr="00C64516">
        <w:rPr>
          <w:szCs w:val="24"/>
        </w:rPr>
        <w:t>.</w:t>
      </w:r>
    </w:p>
    <w:p w14:paraId="1E24E072" w14:textId="77777777" w:rsidR="00186DA5" w:rsidRDefault="00186DA5" w:rsidP="006B7328">
      <w:pPr>
        <w:pStyle w:val="Heading3"/>
      </w:pPr>
      <w:r w:rsidRPr="004657C1">
        <w:lastRenderedPageBreak/>
        <w:t>Primary Duties</w:t>
      </w:r>
    </w:p>
    <w:p w14:paraId="07C32B37" w14:textId="77777777" w:rsidR="00C64516" w:rsidRPr="005E7E91" w:rsidRDefault="00C64516" w:rsidP="001E6580">
      <w:pPr>
        <w:numPr>
          <w:ilvl w:val="0"/>
          <w:numId w:val="3"/>
        </w:numPr>
        <w:ind w:left="360"/>
        <w:rPr>
          <w:szCs w:val="24"/>
        </w:rPr>
      </w:pPr>
      <w:r w:rsidRPr="005E7E91">
        <w:rPr>
          <w:szCs w:val="24"/>
        </w:rPr>
        <w:t>Undertake general clerical activities including creating and maintaining administrative systems such as enrolments, timetables, teaching records and records management.</w:t>
      </w:r>
    </w:p>
    <w:p w14:paraId="655DA07D" w14:textId="77777777" w:rsidR="00C64516" w:rsidRPr="005E7E91" w:rsidRDefault="00C64516" w:rsidP="001E6580">
      <w:pPr>
        <w:numPr>
          <w:ilvl w:val="0"/>
          <w:numId w:val="3"/>
        </w:numPr>
        <w:ind w:left="360"/>
        <w:rPr>
          <w:szCs w:val="24"/>
        </w:rPr>
      </w:pPr>
      <w:r w:rsidRPr="005E7E91">
        <w:rPr>
          <w:szCs w:val="24"/>
        </w:rPr>
        <w:t>Provide administrative assistance to staff, managers and clients including general communication with the public through handling enquiries or routine investigations into queries and giving advice by telephone and face-to-face.</w:t>
      </w:r>
    </w:p>
    <w:p w14:paraId="53E2CE80" w14:textId="77777777" w:rsidR="00C64516" w:rsidRPr="005E7E91" w:rsidRDefault="00C64516" w:rsidP="001E6580">
      <w:pPr>
        <w:numPr>
          <w:ilvl w:val="0"/>
          <w:numId w:val="3"/>
        </w:numPr>
        <w:ind w:left="360"/>
        <w:rPr>
          <w:szCs w:val="24"/>
        </w:rPr>
      </w:pPr>
      <w:r w:rsidRPr="005E7E91">
        <w:rPr>
          <w:szCs w:val="24"/>
        </w:rPr>
        <w:t>Use a wide range of computer software or systems and other general equipment to produce a variety of documents.</w:t>
      </w:r>
    </w:p>
    <w:p w14:paraId="3F18DE57" w14:textId="77777777" w:rsidR="00C64516" w:rsidRPr="005E7E91" w:rsidRDefault="00C64516" w:rsidP="001E6580">
      <w:pPr>
        <w:numPr>
          <w:ilvl w:val="0"/>
          <w:numId w:val="3"/>
        </w:numPr>
        <w:ind w:left="360"/>
        <w:rPr>
          <w:szCs w:val="24"/>
        </w:rPr>
      </w:pPr>
      <w:r w:rsidRPr="005E7E91">
        <w:rPr>
          <w:szCs w:val="24"/>
        </w:rPr>
        <w:t>Complete a range of multiple and diverse administrative tasks including basic financial transactions, venue bookings, ordering of office supplies, filing, mailing and drafting of correspondence.</w:t>
      </w:r>
    </w:p>
    <w:p w14:paraId="38168147" w14:textId="77777777" w:rsidR="00C64516" w:rsidRPr="005E7E91" w:rsidRDefault="00C64516" w:rsidP="001E6580">
      <w:pPr>
        <w:numPr>
          <w:ilvl w:val="0"/>
          <w:numId w:val="3"/>
        </w:numPr>
        <w:ind w:left="360"/>
        <w:rPr>
          <w:szCs w:val="24"/>
        </w:rPr>
      </w:pPr>
      <w:r w:rsidRPr="005E7E91">
        <w:rPr>
          <w:szCs w:val="24"/>
        </w:rPr>
        <w:t>Train new staff in specific procedures, assist other team members as required, including providing back-up for other clerical staff as needed.</w:t>
      </w:r>
    </w:p>
    <w:p w14:paraId="526A5A2E" w14:textId="77777777" w:rsidR="00C64516" w:rsidRPr="005E7E91" w:rsidRDefault="00C64516" w:rsidP="001E6580">
      <w:pPr>
        <w:numPr>
          <w:ilvl w:val="0"/>
          <w:numId w:val="3"/>
        </w:numPr>
        <w:ind w:left="360"/>
        <w:rPr>
          <w:szCs w:val="24"/>
        </w:rPr>
      </w:pPr>
      <w:r w:rsidRPr="005E7E91">
        <w:rPr>
          <w:szCs w:val="24"/>
          <w:lang w:eastAsia="en-AU"/>
        </w:rPr>
        <w:t>Perform other duties as envisaged by the assigned classification under the relevant industrial award or agreement and in accordance with the skills, competence and training of the occupant.</w:t>
      </w:r>
    </w:p>
    <w:p w14:paraId="55128B4C" w14:textId="77777777" w:rsidR="00186DA5" w:rsidRDefault="00186DA5" w:rsidP="006B7328">
      <w:pPr>
        <w:pStyle w:val="Heading2"/>
      </w:pPr>
      <w:r w:rsidRPr="00083236">
        <w:t>Selection Criteria</w:t>
      </w:r>
    </w:p>
    <w:p w14:paraId="4376D4BA" w14:textId="77777777" w:rsidR="002A70D0" w:rsidRPr="002A70D0" w:rsidRDefault="002A70D0" w:rsidP="002A70D0">
      <w:pPr>
        <w:spacing w:before="120"/>
      </w:pPr>
      <w:r w:rsidRPr="002A70D0">
        <w:t xml:space="preserve">Employment in the State Service is governed by the </w:t>
      </w:r>
      <w:r w:rsidRPr="002A70D0">
        <w:rPr>
          <w:i/>
          <w:iCs/>
        </w:rPr>
        <w:t>State Service Act 2000</w:t>
      </w:r>
      <w:r w:rsidRPr="002A70D0">
        <w:t xml:space="preserve"> and employment decisions must be based on merit. A decision relating to appointment or promotion is based on merit if:</w:t>
      </w:r>
    </w:p>
    <w:p w14:paraId="40CBAF8C" w14:textId="77777777" w:rsidR="002A70D0" w:rsidRPr="002A70D0" w:rsidRDefault="002A70D0" w:rsidP="002A70D0">
      <w:pPr>
        <w:numPr>
          <w:ilvl w:val="0"/>
          <w:numId w:val="2"/>
        </w:numPr>
      </w:pPr>
      <w:r w:rsidRPr="002A70D0">
        <w:t>an assessment is made of the relative suitability of the candidates for the duties; and</w:t>
      </w:r>
    </w:p>
    <w:p w14:paraId="611A6EBD" w14:textId="77777777" w:rsidR="002A70D0" w:rsidRPr="002A70D0" w:rsidRDefault="002A70D0" w:rsidP="002A70D0">
      <w:pPr>
        <w:numPr>
          <w:ilvl w:val="0"/>
          <w:numId w:val="2"/>
        </w:numPr>
      </w:pPr>
      <w:r w:rsidRPr="002A70D0">
        <w:t>the assessment is based on the relationship between the candidates’ work-related qualities and the work related qualities genuinely required for the performance of the duties; and</w:t>
      </w:r>
    </w:p>
    <w:p w14:paraId="4E17438B" w14:textId="77777777" w:rsidR="002A70D0" w:rsidRPr="002A70D0" w:rsidRDefault="002A70D0" w:rsidP="002A70D0">
      <w:pPr>
        <w:numPr>
          <w:ilvl w:val="0"/>
          <w:numId w:val="2"/>
        </w:numPr>
      </w:pPr>
      <w:r w:rsidRPr="002A70D0">
        <w:t>the assessment focuses on the relative capacity of the candidates to achieve outcomes related to the duties; and</w:t>
      </w:r>
    </w:p>
    <w:p w14:paraId="6D870123" w14:textId="77777777" w:rsidR="002A70D0" w:rsidRPr="002A70D0" w:rsidRDefault="002A70D0" w:rsidP="002A70D0">
      <w:pPr>
        <w:numPr>
          <w:ilvl w:val="0"/>
          <w:numId w:val="2"/>
        </w:numPr>
      </w:pPr>
      <w:r w:rsidRPr="002A70D0">
        <w:t>the assessment is the primary consideration in making the decision.</w:t>
      </w:r>
    </w:p>
    <w:p w14:paraId="6F438D27" w14:textId="77777777" w:rsidR="002A70D0" w:rsidRPr="002A70D0" w:rsidRDefault="002A70D0" w:rsidP="002A70D0">
      <w:pPr>
        <w:spacing w:before="120"/>
      </w:pPr>
      <w:r w:rsidRPr="002A70D0">
        <w:t>Work-related qualities might include; skills and abilities; qualifications, training and competencies; standard of work performance; capacity to produce required outcomes; relevant personal qualities; and demonstrated potential for future development.</w:t>
      </w:r>
    </w:p>
    <w:p w14:paraId="0D8B11AC" w14:textId="77777777" w:rsidR="00966944" w:rsidRDefault="00966944" w:rsidP="00B62797">
      <w:pPr>
        <w:rPr>
          <w:szCs w:val="24"/>
        </w:rPr>
      </w:pPr>
      <w:r w:rsidRPr="00B95A0C">
        <w:rPr>
          <w:szCs w:val="24"/>
        </w:rPr>
        <w:t>The following specific selection criteria must be addressed by candidates in this context. The nominated position objective and duties contained in this statement of duties must also be used to assist in the interpretation of these selection criteria.</w:t>
      </w:r>
    </w:p>
    <w:p w14:paraId="2B31BABE" w14:textId="77777777" w:rsidR="005E7E91" w:rsidRPr="005E7E91" w:rsidRDefault="005E7E91" w:rsidP="001E6580">
      <w:pPr>
        <w:numPr>
          <w:ilvl w:val="0"/>
          <w:numId w:val="4"/>
        </w:numPr>
        <w:ind w:left="360"/>
        <w:rPr>
          <w:szCs w:val="24"/>
        </w:rPr>
      </w:pPr>
      <w:r w:rsidRPr="005E7E91">
        <w:rPr>
          <w:szCs w:val="24"/>
        </w:rPr>
        <w:t>Proven administrative and organisational skills and a capacity to work with flexibility and act independently within established guidelines, using initiative, discretion and sound judgement.</w:t>
      </w:r>
    </w:p>
    <w:p w14:paraId="2DD5DAE6" w14:textId="77777777" w:rsidR="005E7E91" w:rsidRPr="005E7E91" w:rsidRDefault="005E7E91" w:rsidP="001E6580">
      <w:pPr>
        <w:numPr>
          <w:ilvl w:val="0"/>
          <w:numId w:val="4"/>
        </w:numPr>
        <w:ind w:left="360"/>
        <w:rPr>
          <w:szCs w:val="24"/>
        </w:rPr>
      </w:pPr>
      <w:r w:rsidRPr="005E7E91">
        <w:rPr>
          <w:szCs w:val="24"/>
        </w:rPr>
        <w:t>Good communication and interpersonal skills including the ability to liaise effectively with clients and staff at all levels in a sensitive and confidential manner.</w:t>
      </w:r>
    </w:p>
    <w:p w14:paraId="003B7529" w14:textId="77777777" w:rsidR="005E7E91" w:rsidRPr="005E7E91" w:rsidRDefault="005E7E91" w:rsidP="001E6580">
      <w:pPr>
        <w:numPr>
          <w:ilvl w:val="0"/>
          <w:numId w:val="4"/>
        </w:numPr>
        <w:ind w:left="360"/>
        <w:rPr>
          <w:szCs w:val="24"/>
        </w:rPr>
      </w:pPr>
      <w:r w:rsidRPr="005E7E91">
        <w:rPr>
          <w:szCs w:val="24"/>
        </w:rPr>
        <w:t>Demonstrated experience in the efficient and effective use of current office technologies (including MS Office or similar programs) and the ability to adapt to new technology and procedures as required.</w:t>
      </w:r>
    </w:p>
    <w:p w14:paraId="040A63F0" w14:textId="77777777" w:rsidR="00613A18" w:rsidRPr="00766E95" w:rsidRDefault="005E7E91" w:rsidP="004330EA">
      <w:pPr>
        <w:numPr>
          <w:ilvl w:val="0"/>
          <w:numId w:val="4"/>
        </w:numPr>
        <w:ind w:left="360"/>
        <w:rPr>
          <w:bCs/>
          <w:szCs w:val="24"/>
        </w:rPr>
      </w:pPr>
      <w:r w:rsidRPr="00766E95">
        <w:rPr>
          <w:szCs w:val="24"/>
        </w:rPr>
        <w:t xml:space="preserve">Good written skills with the ability to prepare correspondence and documents which are clear, concise and </w:t>
      </w:r>
      <w:proofErr w:type="spellStart"/>
      <w:r w:rsidRPr="00766E95">
        <w:rPr>
          <w:szCs w:val="24"/>
        </w:rPr>
        <w:t>accurate.Proven</w:t>
      </w:r>
      <w:proofErr w:type="spellEnd"/>
      <w:r w:rsidRPr="00766E95">
        <w:rPr>
          <w:szCs w:val="24"/>
        </w:rPr>
        <w:t xml:space="preserve"> ability to work as an individual and/or in a team, together with the ability to set priorities and work with minimal direction.</w:t>
      </w:r>
    </w:p>
    <w:p w14:paraId="1DA8B0F4" w14:textId="77777777" w:rsidR="00186DA5" w:rsidRPr="00083236" w:rsidRDefault="00186DA5" w:rsidP="006B7328">
      <w:pPr>
        <w:pStyle w:val="Heading2"/>
      </w:pPr>
      <w:r w:rsidRPr="00083236">
        <w:lastRenderedPageBreak/>
        <w:t>Requirements</w:t>
      </w:r>
    </w:p>
    <w:tbl>
      <w:tblPr>
        <w:tblW w:w="9826" w:type="dxa"/>
        <w:tblInd w:w="108" w:type="dxa"/>
        <w:tblLayout w:type="fixed"/>
        <w:tblLook w:val="0000" w:firstRow="0" w:lastRow="0" w:firstColumn="0" w:lastColumn="0" w:noHBand="0" w:noVBand="0"/>
      </w:tblPr>
      <w:tblGrid>
        <w:gridCol w:w="1496"/>
        <w:gridCol w:w="8330"/>
      </w:tblGrid>
      <w:tr w:rsidR="00186DA5" w:rsidRPr="00083236" w14:paraId="2C32310C" w14:textId="77777777" w:rsidTr="00766E95">
        <w:trPr>
          <w:cantSplit/>
          <w:tblHeader/>
        </w:trPr>
        <w:tc>
          <w:tcPr>
            <w:tcW w:w="1496" w:type="dxa"/>
          </w:tcPr>
          <w:p w14:paraId="6B993C6B" w14:textId="77777777" w:rsidR="00186DA5" w:rsidRPr="00083236" w:rsidRDefault="00186DA5" w:rsidP="00A63C21">
            <w:pPr>
              <w:spacing w:before="60" w:after="60"/>
              <w:jc w:val="right"/>
              <w:rPr>
                <w:b/>
              </w:rPr>
            </w:pPr>
            <w:r w:rsidRPr="00083236">
              <w:rPr>
                <w:b/>
              </w:rPr>
              <w:t>Essential</w:t>
            </w:r>
          </w:p>
        </w:tc>
        <w:tc>
          <w:tcPr>
            <w:tcW w:w="8330" w:type="dxa"/>
          </w:tcPr>
          <w:p w14:paraId="3FE2ADA0" w14:textId="77777777" w:rsidR="00C756FF" w:rsidRDefault="00C756FF" w:rsidP="00C756FF">
            <w:pPr>
              <w:pStyle w:val="ListParagraph"/>
              <w:numPr>
                <w:ilvl w:val="0"/>
                <w:numId w:val="16"/>
              </w:numPr>
              <w:spacing w:before="120" w:after="120" w:line="256" w:lineRule="auto"/>
              <w:rPr>
                <w:rFonts w:ascii="Gill Sans MT" w:eastAsia="Times New Roman" w:hAnsi="Gill Sans MT"/>
                <w:sz w:val="24"/>
                <w:szCs w:val="24"/>
              </w:rPr>
            </w:pPr>
            <w:r>
              <w:rPr>
                <w:rFonts w:ascii="Gill Sans MT" w:eastAsia="Times New Roman" w:hAnsi="Gill Sans MT"/>
                <w:sz w:val="24"/>
                <w:szCs w:val="24"/>
              </w:rPr>
              <w:t xml:space="preserve">A person is to provide evidence that they are vaccinated against COVID-19 or have an approved exemption. </w:t>
            </w:r>
          </w:p>
          <w:p w14:paraId="762BB880" w14:textId="77777777" w:rsidR="00C756FF" w:rsidRDefault="00C756FF" w:rsidP="00C756FF">
            <w:pPr>
              <w:spacing w:before="120"/>
              <w:ind w:left="720"/>
            </w:pPr>
            <w: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0651FD7D" w14:textId="77777777" w:rsidR="00C756FF" w:rsidRDefault="00C756FF" w:rsidP="00C756FF">
            <w:pPr>
              <w:spacing w:before="120"/>
              <w:ind w:left="720"/>
              <w:rPr>
                <w:szCs w:val="24"/>
              </w:rPr>
            </w:pPr>
            <w:r>
              <w:t xml:space="preserve">A </w:t>
            </w:r>
            <w:r>
              <w:rPr>
                <w:szCs w:val="24"/>
              </w:rPr>
              <w:t xml:space="preserve">person may be granted an exemption from providing evidence that they are vaccinated against the disease where the person demonstrates –    </w:t>
            </w:r>
          </w:p>
          <w:p w14:paraId="127668F9" w14:textId="77777777" w:rsidR="00C756FF" w:rsidRDefault="00C756FF" w:rsidP="00C756FF">
            <w:pPr>
              <w:pStyle w:val="ListParagraph"/>
              <w:numPr>
                <w:ilvl w:val="1"/>
                <w:numId w:val="17"/>
              </w:numPr>
              <w:spacing w:line="256" w:lineRule="auto"/>
              <w:rPr>
                <w:rFonts w:ascii="Gill Sans MT" w:hAnsi="Gill Sans MT"/>
                <w:b/>
                <w:bCs/>
                <w:sz w:val="24"/>
                <w:szCs w:val="24"/>
              </w:rPr>
            </w:pPr>
            <w:r>
              <w:rPr>
                <w:rFonts w:ascii="Gill Sans MT" w:hAnsi="Gill Sans MT"/>
                <w:b/>
                <w:bCs/>
                <w:sz w:val="24"/>
                <w:szCs w:val="24"/>
              </w:rPr>
              <w:t>Medical contraindication</w:t>
            </w:r>
          </w:p>
          <w:p w14:paraId="63A5D3A6" w14:textId="77777777" w:rsidR="00C756FF" w:rsidRDefault="00C756FF" w:rsidP="00C756FF">
            <w:pPr>
              <w:pStyle w:val="ListParagraph"/>
              <w:rPr>
                <w:rFonts w:ascii="Gill Sans MT" w:eastAsia="Times New Roman" w:hAnsi="Gill Sans MT"/>
                <w:sz w:val="24"/>
                <w:szCs w:val="24"/>
              </w:rPr>
            </w:pPr>
            <w:r>
              <w:rPr>
                <w:rFonts w:ascii="Gill Sans MT" w:eastAsia="Times New Roman" w:hAnsi="Gill Sans MT"/>
                <w:sz w:val="24"/>
                <w:szCs w:val="24"/>
              </w:rPr>
              <w:t>A person is unable to be vaccinated against the disease due to a medical contraindication if they:</w:t>
            </w:r>
          </w:p>
          <w:p w14:paraId="6BB5742C" w14:textId="77777777" w:rsidR="00C756FF" w:rsidRDefault="00C756FF" w:rsidP="00C756FF">
            <w:pPr>
              <w:pStyle w:val="ListParagraph"/>
              <w:numPr>
                <w:ilvl w:val="0"/>
                <w:numId w:val="18"/>
              </w:numPr>
              <w:spacing w:line="256" w:lineRule="auto"/>
              <w:ind w:left="1080"/>
              <w:rPr>
                <w:rFonts w:ascii="Gill Sans MT" w:hAnsi="Gill Sans MT"/>
                <w:sz w:val="24"/>
                <w:szCs w:val="24"/>
              </w:rPr>
            </w:pPr>
            <w:r>
              <w:rPr>
                <w:rFonts w:ascii="Gill Sans MT" w:hAnsi="Gill Sans MT"/>
                <w:sz w:val="24"/>
                <w:szCs w:val="24"/>
              </w:rPr>
              <w:t xml:space="preserve">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  </w:t>
            </w:r>
          </w:p>
          <w:p w14:paraId="2B36B944" w14:textId="77777777" w:rsidR="00C756FF" w:rsidRDefault="00C756FF" w:rsidP="00C756FF">
            <w:pPr>
              <w:pStyle w:val="ListParagraph"/>
              <w:ind w:left="1440"/>
              <w:rPr>
                <w:rFonts w:ascii="Gill Sans MT" w:hAnsi="Gill Sans MT"/>
                <w:sz w:val="24"/>
                <w:szCs w:val="24"/>
              </w:rPr>
            </w:pPr>
            <w:r>
              <w:rPr>
                <w:rFonts w:ascii="Gill Sans MT" w:hAnsi="Gill Sans MT"/>
                <w:sz w:val="24"/>
                <w:szCs w:val="24"/>
              </w:rPr>
              <w:t>Or</w:t>
            </w:r>
          </w:p>
          <w:p w14:paraId="6D6E3427" w14:textId="77777777" w:rsidR="00C756FF" w:rsidRDefault="00C756FF" w:rsidP="00C756FF">
            <w:pPr>
              <w:pStyle w:val="ListParagraph"/>
              <w:numPr>
                <w:ilvl w:val="0"/>
                <w:numId w:val="18"/>
              </w:numPr>
              <w:spacing w:line="256" w:lineRule="auto"/>
              <w:ind w:left="1080"/>
              <w:rPr>
                <w:rFonts w:ascii="Gill Sans MT" w:hAnsi="Gill Sans MT"/>
                <w:sz w:val="24"/>
                <w:szCs w:val="24"/>
              </w:rPr>
            </w:pPr>
            <w:r>
              <w:rPr>
                <w:rFonts w:ascii="Gill Sans MT" w:hAnsi="Gill Sans MT"/>
                <w:sz w:val="24"/>
                <w:szCs w:val="24"/>
              </w:rPr>
              <w:t xml:space="preserve">have a medical exemption, that applies to the vaccinations for the disease, that </w:t>
            </w:r>
            <w:proofErr w:type="gramStart"/>
            <w:r>
              <w:rPr>
                <w:rFonts w:ascii="Gill Sans MT" w:hAnsi="Gill Sans MT"/>
                <w:sz w:val="24"/>
                <w:szCs w:val="24"/>
              </w:rPr>
              <w:t>has  been</w:t>
            </w:r>
            <w:proofErr w:type="gramEnd"/>
            <w:r>
              <w:rPr>
                <w:rFonts w:ascii="Gill Sans MT" w:hAnsi="Gill Sans MT"/>
                <w:sz w:val="24"/>
                <w:szCs w:val="24"/>
              </w:rPr>
              <w:t xml:space="preserve"> recorded on the Australian Immunisation Register, operated by or on behalf of the Commonwealth Government.</w:t>
            </w:r>
          </w:p>
          <w:p w14:paraId="37D39CD4" w14:textId="77777777" w:rsidR="00C756FF" w:rsidRDefault="00C756FF" w:rsidP="00C756FF">
            <w:pPr>
              <w:pStyle w:val="ListParagraph"/>
              <w:numPr>
                <w:ilvl w:val="1"/>
                <w:numId w:val="17"/>
              </w:numPr>
              <w:spacing w:before="120" w:after="120" w:line="256" w:lineRule="auto"/>
              <w:rPr>
                <w:rFonts w:ascii="Gill Sans MT" w:hAnsi="Gill Sans MT"/>
                <w:b/>
                <w:bCs/>
                <w:sz w:val="24"/>
                <w:szCs w:val="24"/>
              </w:rPr>
            </w:pPr>
            <w:r>
              <w:rPr>
                <w:rFonts w:ascii="Gill Sans MT" w:hAnsi="Gill Sans MT"/>
                <w:b/>
                <w:bCs/>
                <w:sz w:val="24"/>
                <w:szCs w:val="24"/>
              </w:rPr>
              <w:t>Exceptional circumstances</w:t>
            </w:r>
          </w:p>
          <w:p w14:paraId="4C3430C7" w14:textId="77777777" w:rsidR="00C756FF" w:rsidRDefault="00C756FF" w:rsidP="00C756FF">
            <w:pPr>
              <w:pStyle w:val="ListParagraph"/>
              <w:spacing w:before="120" w:after="120"/>
              <w:rPr>
                <w:rFonts w:ascii="Gill Sans MT" w:hAnsi="Gill Sans MT"/>
                <w:sz w:val="24"/>
                <w:szCs w:val="24"/>
              </w:rPr>
            </w:pPr>
            <w:r>
              <w:rPr>
                <w:rFonts w:ascii="Gill Sans MT" w:hAnsi="Gill Sans MT"/>
                <w:sz w:val="24"/>
                <w:szCs w:val="24"/>
              </w:rPr>
              <w:t>Demonstrated to the satisfaction of the Head of Agency.</w:t>
            </w:r>
          </w:p>
          <w:p w14:paraId="0940323D" w14:textId="77777777" w:rsidR="00C756FF" w:rsidRDefault="00C756FF" w:rsidP="00C756FF">
            <w:pPr>
              <w:numPr>
                <w:ilvl w:val="0"/>
                <w:numId w:val="16"/>
              </w:numPr>
              <w:spacing w:before="60" w:after="60"/>
              <w:rPr>
                <w:color w:val="ED7D31"/>
                <w:szCs w:val="24"/>
              </w:rPr>
            </w:pPr>
            <w:r>
              <w:rPr>
                <w:szCs w:val="24"/>
              </w:rPr>
              <w:t xml:space="preserve">The </w:t>
            </w:r>
            <w:r>
              <w:rPr>
                <w:i/>
                <w:iCs/>
                <w:szCs w:val="24"/>
              </w:rPr>
              <w:t xml:space="preserve">Registration to Work with Vulnerable People Act 2013 </w:t>
            </w:r>
            <w:r>
              <w:rPr>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7ED40FDE" w14:textId="77777777" w:rsidR="00C756FF" w:rsidRDefault="00C756FF" w:rsidP="00C756FF">
            <w:pPr>
              <w:pStyle w:val="ListParagraph"/>
              <w:numPr>
                <w:ilvl w:val="1"/>
                <w:numId w:val="16"/>
              </w:numPr>
              <w:spacing w:after="0" w:line="256" w:lineRule="auto"/>
              <w:rPr>
                <w:rFonts w:ascii="Gill Sans MT" w:hAnsi="Gill Sans MT" w:cs="Arial"/>
                <w:sz w:val="24"/>
                <w:szCs w:val="24"/>
              </w:rPr>
            </w:pPr>
            <w:r>
              <w:rPr>
                <w:rFonts w:ascii="Gill Sans MT" w:hAnsi="Gill Sans MT"/>
                <w:sz w:val="24"/>
                <w:szCs w:val="24"/>
              </w:rPr>
              <w:t>Current Tasmanian Registration to Work with Vulnerable People (Registration Status – Employment)</w:t>
            </w:r>
          </w:p>
          <w:p w14:paraId="20D5267C" w14:textId="4737B9E0" w:rsidR="00D125A0" w:rsidRPr="00766E95" w:rsidRDefault="00D125A0" w:rsidP="00C756FF">
            <w:pPr>
              <w:pStyle w:val="ListParagraph"/>
              <w:spacing w:after="0"/>
              <w:ind w:left="982"/>
              <w:rPr>
                <w:rFonts w:ascii="Gill Sans MT" w:hAnsi="Gill Sans MT" w:cs="Arial"/>
                <w:sz w:val="24"/>
                <w:szCs w:val="24"/>
              </w:rPr>
            </w:pPr>
          </w:p>
        </w:tc>
      </w:tr>
      <w:tr w:rsidR="00186DA5" w:rsidRPr="00083236" w14:paraId="3CB943FF" w14:textId="77777777" w:rsidTr="00766E95">
        <w:trPr>
          <w:cantSplit/>
          <w:tblHeader/>
        </w:trPr>
        <w:tc>
          <w:tcPr>
            <w:tcW w:w="1496" w:type="dxa"/>
          </w:tcPr>
          <w:p w14:paraId="1C907693" w14:textId="77777777" w:rsidR="00186DA5" w:rsidRPr="00083236" w:rsidRDefault="00186DA5" w:rsidP="00A63C21">
            <w:pPr>
              <w:spacing w:before="60" w:after="60"/>
              <w:ind w:left="448" w:hanging="357"/>
              <w:jc w:val="right"/>
              <w:rPr>
                <w:b/>
              </w:rPr>
            </w:pPr>
            <w:r w:rsidRPr="00083236">
              <w:rPr>
                <w:b/>
              </w:rPr>
              <w:t>Desirable</w:t>
            </w:r>
          </w:p>
        </w:tc>
        <w:tc>
          <w:tcPr>
            <w:tcW w:w="8330" w:type="dxa"/>
            <w:vAlign w:val="center"/>
          </w:tcPr>
          <w:p w14:paraId="6D219761" w14:textId="77777777" w:rsidR="00186DA5" w:rsidRPr="00764252" w:rsidRDefault="00C54E3F" w:rsidP="00A63C21">
            <w:pPr>
              <w:numPr>
                <w:ilvl w:val="0"/>
                <w:numId w:val="1"/>
              </w:numPr>
              <w:tabs>
                <w:tab w:val="num" w:pos="453"/>
              </w:tabs>
              <w:spacing w:before="60" w:after="60"/>
              <w:ind w:left="448" w:hanging="357"/>
              <w:rPr>
                <w:szCs w:val="24"/>
              </w:rPr>
            </w:pPr>
            <w:r w:rsidRPr="00E94531">
              <w:t>Nil</w:t>
            </w:r>
          </w:p>
        </w:tc>
      </w:tr>
    </w:tbl>
    <w:p w14:paraId="2A726CDF" w14:textId="77777777" w:rsidR="00EC5697" w:rsidRPr="00083236" w:rsidRDefault="00EC5697" w:rsidP="006B7328">
      <w:pPr>
        <w:pStyle w:val="Heading2"/>
      </w:pPr>
      <w:r>
        <w:t>Working within</w:t>
      </w:r>
      <w:r w:rsidRPr="00083236">
        <w:t xml:space="preserve"> the Department of Education</w:t>
      </w:r>
    </w:p>
    <w:p w14:paraId="02C77BAF" w14:textId="77777777" w:rsidR="002A70D0" w:rsidRPr="002A70D0" w:rsidRDefault="002A70D0" w:rsidP="002A70D0">
      <w:r w:rsidRPr="002A70D0">
        <w:t>The Department is responsible for providing public education, vocational education and training, adult and community education, and library and archive services throughout Tasmania.</w:t>
      </w:r>
    </w:p>
    <w:p w14:paraId="39E0A5CB" w14:textId="77777777" w:rsidR="006B7328" w:rsidRPr="006B7328" w:rsidRDefault="002A70D0" w:rsidP="006B7328">
      <w:pPr>
        <w:pStyle w:val="NormalWeb"/>
        <w:spacing w:before="0" w:beforeAutospacing="0" w:after="120" w:afterAutospacing="0"/>
      </w:pPr>
      <w:r w:rsidRPr="002A70D0">
        <w:t xml:space="preserve">Our strategic focus is centered on achieving the Tasmanian Government’s priorities for education, training and information services.  These priorities are expressed through the goals of the </w:t>
      </w:r>
      <w:r w:rsidRPr="006B7328">
        <w:rPr>
          <w:i/>
        </w:rPr>
        <w:t>Learners First: Every Learner, Every Day</w:t>
      </w:r>
      <w:r w:rsidRPr="002A70D0">
        <w:t xml:space="preserve"> Strategic Plan, and the </w:t>
      </w:r>
      <w:r w:rsidR="001B7E81">
        <w:t>Libraries</w:t>
      </w:r>
      <w:r w:rsidRPr="002A70D0">
        <w:t xml:space="preserve"> Tasmania Strategy.</w:t>
      </w:r>
      <w:r w:rsidR="006B7328">
        <w:t xml:space="preserve"> </w:t>
      </w:r>
    </w:p>
    <w:p w14:paraId="7A451F95" w14:textId="02CD4081" w:rsidR="006B7328" w:rsidRPr="006B7328" w:rsidRDefault="00C756FF" w:rsidP="006B7328">
      <w:pPr>
        <w:tabs>
          <w:tab w:val="bar" w:pos="2268"/>
          <w:tab w:val="left" w:pos="2552"/>
        </w:tabs>
        <w:spacing w:before="120"/>
        <w:ind w:left="2552" w:hanging="2552"/>
        <w:rPr>
          <w:szCs w:val="24"/>
          <w:lang w:val="en-US"/>
        </w:rPr>
      </w:pPr>
      <w:r>
        <w:rPr>
          <w:b/>
          <w:szCs w:val="24"/>
          <w:lang w:val="en-US"/>
        </w:rPr>
        <w:br w:type="column"/>
      </w:r>
      <w:r w:rsidR="006B7328" w:rsidRPr="006B7328">
        <w:rPr>
          <w:b/>
          <w:szCs w:val="24"/>
          <w:lang w:val="en-US"/>
        </w:rPr>
        <w:lastRenderedPageBreak/>
        <w:t>Our Commitment</w:t>
      </w:r>
      <w:r w:rsidR="006B7328" w:rsidRPr="006B7328">
        <w:rPr>
          <w:szCs w:val="24"/>
          <w:lang w:val="en-US"/>
        </w:rPr>
        <w:tab/>
      </w:r>
      <w:r>
        <w:t xml:space="preserve">Working together we inspire and engage all learners to learn more </w:t>
      </w:r>
      <w:proofErr w:type="spellStart"/>
      <w:r>
        <w:t>everyday</w:t>
      </w:r>
      <w:proofErr w:type="spellEnd"/>
      <w:r>
        <w:t>.</w:t>
      </w:r>
    </w:p>
    <w:p w14:paraId="48D988DF" w14:textId="77777777" w:rsidR="006B7328" w:rsidRPr="006B7328" w:rsidRDefault="006B7328" w:rsidP="006B7328">
      <w:pPr>
        <w:tabs>
          <w:tab w:val="bar" w:pos="2268"/>
          <w:tab w:val="left" w:pos="2552"/>
        </w:tabs>
        <w:ind w:left="2268" w:hanging="2268"/>
        <w:rPr>
          <w:szCs w:val="24"/>
          <w:lang w:val="en-US"/>
        </w:rPr>
      </w:pPr>
      <w:r w:rsidRPr="006B7328">
        <w:rPr>
          <w:b/>
          <w:szCs w:val="24"/>
          <w:lang w:val="en-US"/>
        </w:rPr>
        <w:t>Our Values</w:t>
      </w:r>
      <w:r w:rsidRPr="006B7328">
        <w:rPr>
          <w:b/>
          <w:szCs w:val="24"/>
          <w:lang w:val="en-US"/>
        </w:rPr>
        <w:tab/>
      </w:r>
      <w:r w:rsidRPr="006B7328">
        <w:rPr>
          <w:b/>
          <w:szCs w:val="24"/>
          <w:lang w:val="en-US"/>
        </w:rPr>
        <w:tab/>
      </w:r>
      <w:r w:rsidRPr="006B7328">
        <w:rPr>
          <w:szCs w:val="24"/>
          <w:lang w:val="en-US"/>
        </w:rPr>
        <w:t>Aspiration, Respect, Courage and Growth.</w:t>
      </w:r>
    </w:p>
    <w:p w14:paraId="5C64A2A9" w14:textId="77777777" w:rsidR="006B7328" w:rsidRPr="006B7328" w:rsidRDefault="006B7328" w:rsidP="006B7328">
      <w:pPr>
        <w:tabs>
          <w:tab w:val="bar" w:pos="2268"/>
          <w:tab w:val="left" w:pos="2552"/>
        </w:tabs>
        <w:ind w:left="2552" w:hanging="2552"/>
        <w:rPr>
          <w:szCs w:val="24"/>
          <w:lang w:val="en-US"/>
        </w:rPr>
      </w:pPr>
      <w:r w:rsidRPr="006B7328">
        <w:rPr>
          <w:b/>
          <w:szCs w:val="24"/>
          <w:lang w:val="en-US"/>
        </w:rPr>
        <w:t>Our Goals</w:t>
      </w:r>
      <w:r w:rsidRPr="006B7328">
        <w:rPr>
          <w:b/>
          <w:szCs w:val="24"/>
          <w:lang w:val="en-US"/>
        </w:rPr>
        <w:tab/>
      </w:r>
      <w:r w:rsidRPr="006B7328">
        <w:rPr>
          <w:szCs w:val="24"/>
          <w:lang w:val="en-US"/>
        </w:rPr>
        <w:t>Access, Participation and Engagement; Early Learning; Wellbeing; Literacy and Numeracy.</w:t>
      </w:r>
    </w:p>
    <w:p w14:paraId="1BC10A75" w14:textId="77777777" w:rsidR="002A70D0" w:rsidRPr="002A70D0" w:rsidRDefault="006B7328" w:rsidP="002A70D0">
      <w:r w:rsidRPr="006B7328">
        <w:t>Our strategies aim to transform the way Tasmanians access education, training and information services, provide a fresh and exciting approach to lifelong learning and build an education system that inspires and supports all learners to succeed</w:t>
      </w:r>
      <w:r>
        <w:t xml:space="preserve"> </w:t>
      </w:r>
      <w:r w:rsidR="002A70D0" w:rsidRPr="002A70D0">
        <w:t>as connected, resilient, creative and curious thinkers.</w:t>
      </w:r>
    </w:p>
    <w:p w14:paraId="57BAF4E8" w14:textId="77777777" w:rsidR="002A70D0" w:rsidRPr="002A70D0" w:rsidRDefault="002A70D0" w:rsidP="006B7328">
      <w:pPr>
        <w:pStyle w:val="Heading3"/>
      </w:pPr>
      <w:r w:rsidRPr="002A70D0">
        <w:t>Information and Records Management</w:t>
      </w:r>
    </w:p>
    <w:p w14:paraId="3A525048" w14:textId="77777777" w:rsidR="006B7328" w:rsidRPr="006B7328" w:rsidRDefault="006B7328" w:rsidP="006B7328">
      <w:pPr>
        <w:spacing w:after="0"/>
      </w:pPr>
      <w:r w:rsidRPr="006B7328">
        <w:t>All employees are responsible and accountable to:</w:t>
      </w:r>
    </w:p>
    <w:p w14:paraId="02DEB87F" w14:textId="77777777" w:rsidR="006B7328" w:rsidRPr="006B7328" w:rsidRDefault="006B7328" w:rsidP="006B7328">
      <w:pPr>
        <w:numPr>
          <w:ilvl w:val="0"/>
          <w:numId w:val="5"/>
        </w:numPr>
        <w:spacing w:after="0"/>
        <w:rPr>
          <w:szCs w:val="24"/>
          <w:lang w:val="en-US"/>
        </w:rPr>
      </w:pPr>
      <w:r w:rsidRPr="006B7328">
        <w:rPr>
          <w:szCs w:val="24"/>
          <w:lang w:val="en-US"/>
        </w:rPr>
        <w:t>Create records according to the business needs and business processes of their business unit or school that adequately document the business activities in which they take part.</w:t>
      </w:r>
    </w:p>
    <w:p w14:paraId="3558878D" w14:textId="77777777" w:rsidR="006B7328" w:rsidRPr="006B7328" w:rsidRDefault="006B7328" w:rsidP="006B7328">
      <w:pPr>
        <w:numPr>
          <w:ilvl w:val="0"/>
          <w:numId w:val="5"/>
        </w:numPr>
        <w:spacing w:after="0"/>
        <w:rPr>
          <w:szCs w:val="24"/>
          <w:lang w:val="en-US"/>
        </w:rPr>
      </w:pPr>
      <w:r w:rsidRPr="006B7328">
        <w:rPr>
          <w:szCs w:val="24"/>
          <w:lang w:val="en-US"/>
        </w:rPr>
        <w:t xml:space="preserve">Register documents in an approved Business Information Management System. </w:t>
      </w:r>
    </w:p>
    <w:p w14:paraId="2054F488" w14:textId="77777777" w:rsidR="006B7328" w:rsidRPr="006B7328" w:rsidRDefault="006B7328" w:rsidP="006B7328">
      <w:pPr>
        <w:numPr>
          <w:ilvl w:val="0"/>
          <w:numId w:val="5"/>
        </w:numPr>
        <w:spacing w:after="0"/>
        <w:rPr>
          <w:szCs w:val="24"/>
          <w:lang w:val="en-US"/>
        </w:rPr>
      </w:pPr>
      <w:r w:rsidRPr="006B7328">
        <w:rPr>
          <w:szCs w:val="24"/>
          <w:lang w:val="en-US"/>
        </w:rPr>
        <w:t>Access information for legitimate work purposes only.</w:t>
      </w:r>
    </w:p>
    <w:p w14:paraId="7635DABF" w14:textId="77777777" w:rsidR="006B7328" w:rsidRPr="006B7328" w:rsidRDefault="006B7328" w:rsidP="006B7328">
      <w:pPr>
        <w:spacing w:before="120" w:after="0"/>
      </w:pPr>
      <w:r w:rsidRPr="006B7328">
        <w:t>All employees must not:</w:t>
      </w:r>
    </w:p>
    <w:p w14:paraId="0B15CD52" w14:textId="77777777" w:rsidR="006B7328" w:rsidRPr="006B7328" w:rsidRDefault="006B7328" w:rsidP="006B7328">
      <w:pPr>
        <w:numPr>
          <w:ilvl w:val="0"/>
          <w:numId w:val="6"/>
        </w:numPr>
        <w:spacing w:after="0"/>
        <w:rPr>
          <w:szCs w:val="24"/>
          <w:lang w:val="en-US"/>
        </w:rPr>
      </w:pPr>
      <w:r w:rsidRPr="006B7328">
        <w:rPr>
          <w:szCs w:val="24"/>
          <w:lang w:val="en-US"/>
        </w:rPr>
        <w:t xml:space="preserve">Destroy delete or alter records without proper authority; or </w:t>
      </w:r>
    </w:p>
    <w:p w14:paraId="6AB3C367" w14:textId="447619FC" w:rsidR="00766E95" w:rsidRPr="00C756FF" w:rsidRDefault="006B7328" w:rsidP="0089633D">
      <w:pPr>
        <w:numPr>
          <w:ilvl w:val="0"/>
          <w:numId w:val="6"/>
        </w:numPr>
        <w:spacing w:after="0"/>
        <w:rPr>
          <w:szCs w:val="24"/>
          <w:lang w:val="en-US"/>
        </w:rPr>
      </w:pPr>
      <w:r w:rsidRPr="00C756FF">
        <w:rPr>
          <w:szCs w:val="24"/>
          <w:lang w:val="en-US"/>
        </w:rPr>
        <w:t>Remove information, documents or records from the Department without permission.</w:t>
      </w:r>
    </w:p>
    <w:p w14:paraId="0D5C43C7" w14:textId="77777777" w:rsidR="002A70D0" w:rsidRPr="002A70D0" w:rsidRDefault="002A70D0" w:rsidP="006B7328">
      <w:pPr>
        <w:pStyle w:val="Heading3"/>
      </w:pPr>
      <w:r w:rsidRPr="002A70D0">
        <w:t>State Service Principles and Code of Conduct</w:t>
      </w:r>
    </w:p>
    <w:p w14:paraId="27A0D85A" w14:textId="77777777" w:rsidR="006B7328" w:rsidRPr="006B7328" w:rsidRDefault="006B7328" w:rsidP="006B7328">
      <w:r w:rsidRPr="006B7328">
        <w:rPr>
          <w:bCs/>
        </w:rPr>
        <w:t xml:space="preserve">Employment in the State Service is governed by the </w:t>
      </w:r>
      <w:r w:rsidRPr="006B7328">
        <w:rPr>
          <w:bCs/>
          <w:i/>
        </w:rPr>
        <w:t>State Service Act 2000</w:t>
      </w:r>
      <w:r w:rsidRPr="006B7328">
        <w:rPr>
          <w:bCs/>
        </w:rPr>
        <w:t xml:space="preserve">. </w:t>
      </w:r>
      <w:r w:rsidRPr="006B7328">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6098AADE" w14:textId="77777777" w:rsidR="006B7328" w:rsidRPr="006B7328" w:rsidRDefault="006B7328" w:rsidP="006B7328">
      <w:r w:rsidRPr="006B7328">
        <w:t xml:space="preserve">The State Service Principles and Code of Conduct are contained in the </w:t>
      </w:r>
      <w:r w:rsidRPr="006B7328">
        <w:rPr>
          <w:i/>
        </w:rPr>
        <w:t>State Service Act 2000</w:t>
      </w:r>
      <w:r w:rsidRPr="006B7328">
        <w:t xml:space="preserve"> and can be found on the State Service Management Office website at </w:t>
      </w:r>
      <w:hyperlink r:id="rId14" w:history="1">
        <w:r w:rsidRPr="006B7328">
          <w:rPr>
            <w:color w:val="0000FF"/>
            <w:u w:val="single"/>
          </w:rPr>
          <w:t>http://www.dpac.tas.gov.au/divisions/ssmo</w:t>
        </w:r>
      </w:hyperlink>
      <w:r w:rsidRPr="006B7328">
        <w:t xml:space="preserve"> together with Employment Direction No. 2 </w:t>
      </w:r>
      <w:r w:rsidRPr="006B7328">
        <w:rPr>
          <w:bCs/>
          <w:i/>
          <w:iCs/>
          <w:color w:val="FF0000"/>
        </w:rPr>
        <w:t>State Service Principles</w:t>
      </w:r>
      <w:r w:rsidRPr="006B7328">
        <w:rPr>
          <w:bCs/>
          <w:i/>
          <w:iCs/>
        </w:rPr>
        <w:t xml:space="preserve">. </w:t>
      </w:r>
      <w:r w:rsidRPr="006B7328">
        <w:t>All employees must read these and ensure they understand their responsibilities.</w:t>
      </w:r>
    </w:p>
    <w:p w14:paraId="5BDFED00" w14:textId="77777777" w:rsidR="006B7328" w:rsidRPr="006B7328" w:rsidRDefault="006B7328" w:rsidP="006B7328">
      <w:r w:rsidRPr="006B7328">
        <w:t xml:space="preserve">All employees are expected to utilise information management systems in a responsible manner in line with the DoE Condition of Use policy statement located at </w:t>
      </w:r>
      <w:hyperlink r:id="rId15" w:history="1">
        <w:r w:rsidRPr="006B7328">
          <w:rPr>
            <w:color w:val="0000FF"/>
            <w:u w:val="single"/>
          </w:rPr>
          <w:t>Department of Education: Information technology policies</w:t>
        </w:r>
      </w:hyperlink>
    </w:p>
    <w:p w14:paraId="3893F77C" w14:textId="77777777" w:rsidR="002A70D0" w:rsidRPr="002A70D0" w:rsidRDefault="002A70D0" w:rsidP="006B7328">
      <w:pPr>
        <w:pStyle w:val="Heading3"/>
      </w:pPr>
      <w:r w:rsidRPr="002A70D0">
        <w:t>Work Health and Safety and Workplace Diversity</w:t>
      </w:r>
    </w:p>
    <w:p w14:paraId="1F8A2BC3" w14:textId="77777777" w:rsidR="002A70D0" w:rsidRPr="002A70D0" w:rsidRDefault="002A70D0" w:rsidP="002A70D0">
      <w:r w:rsidRPr="002A70D0">
        <w:t>The Department is committed to high standards of performance in respect of work health and safety and managing diversity. All employees are expected to promote and uphold the principles of fair and equitable access to employment/promotion, personal development and training and the elimination of workplace harassment and discrimination.</w:t>
      </w:r>
    </w:p>
    <w:p w14:paraId="12BD97E8" w14:textId="14B403DF" w:rsidR="002A70D0" w:rsidRDefault="002A70D0" w:rsidP="002A70D0">
      <w:r w:rsidRPr="002A70D0">
        <w:t xml:space="preserve">In accordance with the </w:t>
      </w:r>
      <w:r w:rsidRPr="006B7328">
        <w:rPr>
          <w:i/>
        </w:rPr>
        <w:t>Work Health and Safety Act 2012</w:t>
      </w:r>
      <w:r w:rsidRPr="002A70D0">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590543B9" w14:textId="08DA751F" w:rsidR="003D741A" w:rsidRPr="002A70D0" w:rsidRDefault="003D741A" w:rsidP="002A70D0">
      <w:r>
        <w:t xml:space="preserve">The Department of Education is committed to providing a safe workplace for all employees and has zero tolerance to all form of violence. </w:t>
      </w:r>
    </w:p>
    <w:p w14:paraId="0E795E60" w14:textId="77777777" w:rsidR="002A70D0" w:rsidRPr="002A70D0" w:rsidRDefault="002A70D0" w:rsidP="002A70D0">
      <w:r w:rsidRPr="002A70D0">
        <w:lastRenderedPageBreak/>
        <w:t xml:space="preserve">State Government workplaces and vehicles are </w:t>
      </w:r>
      <w:proofErr w:type="spellStart"/>
      <w:r w:rsidRPr="002A70D0">
        <w:t>non smoking</w:t>
      </w:r>
      <w:proofErr w:type="spellEnd"/>
      <w:r w:rsidRPr="002A70D0">
        <w:t xml:space="preserve"> environments.</w:t>
      </w:r>
    </w:p>
    <w:tbl>
      <w:tblPr>
        <w:tblStyle w:val="TableGrid"/>
        <w:tblW w:w="0" w:type="auto"/>
        <w:tblBorders>
          <w:left w:val="none" w:sz="0" w:space="0" w:color="auto"/>
          <w:right w:val="none" w:sz="0" w:space="0" w:color="auto"/>
        </w:tblBorders>
        <w:tblLook w:val="04A0" w:firstRow="1" w:lastRow="0" w:firstColumn="1" w:lastColumn="0" w:noHBand="0" w:noVBand="1"/>
        <w:tblCaption w:val="HR Office Use only"/>
        <w:tblDescription w:val="HR Office Use only"/>
      </w:tblPr>
      <w:tblGrid>
        <w:gridCol w:w="9968"/>
      </w:tblGrid>
      <w:tr w:rsidR="00766E95" w14:paraId="2E4F5347" w14:textId="77777777" w:rsidTr="007C525B">
        <w:trPr>
          <w:trHeight w:val="419"/>
          <w:tblHeader/>
        </w:trPr>
        <w:tc>
          <w:tcPr>
            <w:tcW w:w="9968" w:type="dxa"/>
          </w:tcPr>
          <w:p w14:paraId="344DF8D2" w14:textId="77777777" w:rsidR="00766E95" w:rsidRPr="00F17D49" w:rsidRDefault="00766E95" w:rsidP="00766E95">
            <w:pPr>
              <w:spacing w:before="240" w:after="240"/>
              <w:rPr>
                <w:color w:val="000000"/>
                <w:sz w:val="20"/>
                <w:lang w:val="en-US"/>
              </w:rPr>
            </w:pPr>
            <w:r w:rsidRPr="00F17D49">
              <w:rPr>
                <w:rFonts w:cs="Arial"/>
                <w:b/>
                <w:bCs/>
                <w:sz w:val="20"/>
              </w:rPr>
              <w:t>Category/funding/restrictions:</w:t>
            </w:r>
            <w:r w:rsidRPr="00F17D49">
              <w:rPr>
                <w:rFonts w:cs="Arial"/>
                <w:sz w:val="20"/>
              </w:rPr>
              <w:t xml:space="preserve"> </w:t>
            </w:r>
            <w:r w:rsidRPr="00F17D49">
              <w:rPr>
                <w:sz w:val="20"/>
              </w:rPr>
              <w:t xml:space="preserve">Permanent or Fixed Term. Cost code: </w:t>
            </w:r>
            <w:r>
              <w:rPr>
                <w:sz w:val="20"/>
              </w:rPr>
              <w:t xml:space="preserve">As </w:t>
            </w:r>
            <w:r w:rsidRPr="00F17D49">
              <w:rPr>
                <w:sz w:val="20"/>
              </w:rPr>
              <w:t>Specified</w:t>
            </w:r>
          </w:p>
        </w:tc>
      </w:tr>
      <w:tr w:rsidR="00766E95" w14:paraId="69DCA318" w14:textId="77777777" w:rsidTr="007C525B">
        <w:trPr>
          <w:trHeight w:val="1393"/>
        </w:trPr>
        <w:tc>
          <w:tcPr>
            <w:tcW w:w="9968" w:type="dxa"/>
            <w:vAlign w:val="center"/>
          </w:tcPr>
          <w:p w14:paraId="343A8D1B" w14:textId="77777777" w:rsidR="00766E95" w:rsidRDefault="00766E95" w:rsidP="00215C2C">
            <w:pPr>
              <w:spacing w:after="0"/>
              <w:rPr>
                <w:rFonts w:cs="Arial"/>
                <w:b/>
                <w:sz w:val="20"/>
              </w:rPr>
            </w:pPr>
            <w:r>
              <w:rPr>
                <w:rFonts w:cs="Arial"/>
                <w:b/>
                <w:sz w:val="20"/>
              </w:rPr>
              <w:t xml:space="preserve">HR </w:t>
            </w:r>
            <w:r w:rsidRPr="00DA1BA1">
              <w:rPr>
                <w:rFonts w:cs="Arial"/>
                <w:b/>
                <w:sz w:val="20"/>
              </w:rPr>
              <w:t xml:space="preserve">Office use only: </w:t>
            </w:r>
          </w:p>
          <w:p w14:paraId="45441522" w14:textId="77777777" w:rsidR="00766E95" w:rsidRPr="005434B7" w:rsidRDefault="00766E95" w:rsidP="00215C2C">
            <w:pPr>
              <w:tabs>
                <w:tab w:val="left" w:pos="180"/>
              </w:tabs>
              <w:spacing w:after="0"/>
              <w:rPr>
                <w:rFonts w:cs="Arial"/>
                <w:sz w:val="20"/>
              </w:rPr>
            </w:pPr>
            <w:r>
              <w:rPr>
                <w:rFonts w:cs="Arial"/>
                <w:b/>
                <w:sz w:val="20"/>
              </w:rPr>
              <w:t>APPROVED BY HRM DELEGATE:</w:t>
            </w:r>
            <w:r w:rsidRPr="005434B7">
              <w:rPr>
                <w:rFonts w:cs="Arial"/>
                <w:sz w:val="20"/>
              </w:rPr>
              <w:t xml:space="preserve"> </w:t>
            </w:r>
          </w:p>
          <w:p w14:paraId="5FEB8866" w14:textId="77777777" w:rsidR="00766E95" w:rsidRPr="00F17D49" w:rsidRDefault="00766E95" w:rsidP="00215C2C">
            <w:pPr>
              <w:spacing w:after="0"/>
              <w:rPr>
                <w:rFonts w:cs="Arial"/>
                <w:sz w:val="16"/>
                <w:szCs w:val="16"/>
              </w:rPr>
            </w:pPr>
            <w:r w:rsidRPr="005434B7">
              <w:rPr>
                <w:rFonts w:cs="Arial"/>
                <w:sz w:val="20"/>
              </w:rPr>
              <w:t>Date Duties and Selection Criteria Last Reviewed:</w:t>
            </w:r>
            <w:r>
              <w:rPr>
                <w:rFonts w:cs="Arial"/>
                <w:sz w:val="20"/>
              </w:rPr>
              <w:t xml:space="preserve">  </w:t>
            </w:r>
            <w:r>
              <w:rPr>
                <w:sz w:val="18"/>
                <w:szCs w:val="18"/>
              </w:rPr>
              <w:t>10/16 TC</w:t>
            </w:r>
          </w:p>
        </w:tc>
      </w:tr>
    </w:tbl>
    <w:p w14:paraId="5069BB17" w14:textId="77777777" w:rsidR="00766E95" w:rsidRDefault="00766E95" w:rsidP="002A70D0"/>
    <w:sectPr w:rsidR="00766E95" w:rsidSect="00215C2C">
      <w:footerReference w:type="first" r:id="rId16"/>
      <w:pgSz w:w="11906" w:h="16838" w:code="9"/>
      <w:pgMar w:top="1134" w:right="794" w:bottom="709" w:left="1134"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965D" w14:textId="77777777" w:rsidR="00CF5CAB" w:rsidRDefault="00CF5CAB">
      <w:r>
        <w:separator/>
      </w:r>
    </w:p>
  </w:endnote>
  <w:endnote w:type="continuationSeparator" w:id="0">
    <w:p w14:paraId="55761224" w14:textId="77777777" w:rsidR="00CF5CAB" w:rsidRDefault="00C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5E57" w14:textId="77777777" w:rsidR="00C64516" w:rsidRDefault="00766E95">
    <w:pPr>
      <w:pStyle w:val="Footer"/>
    </w:pPr>
    <w:r w:rsidRPr="00A97B81">
      <w:rPr>
        <w:noProof/>
        <w:lang w:eastAsia="en-AU"/>
      </w:rPr>
      <w:drawing>
        <wp:anchor distT="0" distB="0" distL="114300" distR="114300" simplePos="0" relativeHeight="251659776" behindDoc="0" locked="0" layoutInCell="1" allowOverlap="1" wp14:anchorId="1B1C0CBF" wp14:editId="1E21BC5B">
          <wp:simplePos x="0" y="0"/>
          <wp:positionH relativeFrom="page">
            <wp:posOffset>9525</wp:posOffset>
          </wp:positionH>
          <wp:positionV relativeFrom="paragraph">
            <wp:posOffset>233680</wp:posOffset>
          </wp:positionV>
          <wp:extent cx="7545705" cy="1392555"/>
          <wp:effectExtent l="0" t="0" r="0" b="0"/>
          <wp:wrapThrough wrapText="bothSides">
            <wp:wrapPolygon edited="0">
              <wp:start x="0" y="0"/>
              <wp:lineTo x="0" y="21275"/>
              <wp:lineTo x="21540" y="21275"/>
              <wp:lineTo x="21540" y="0"/>
              <wp:lineTo x="0" y="0"/>
            </wp:wrapPolygon>
          </wp:wrapThrough>
          <wp:docPr id="22" name="Picture 22" descr="Department of Education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5705" cy="1392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EF01" w14:textId="77777777" w:rsidR="00CF5CAB" w:rsidRDefault="00CF5CAB">
      <w:r>
        <w:separator/>
      </w:r>
    </w:p>
  </w:footnote>
  <w:footnote w:type="continuationSeparator" w:id="0">
    <w:p w14:paraId="01569CB6" w14:textId="77777777" w:rsidR="00CF5CAB" w:rsidRDefault="00CF5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F00"/>
    <w:multiLevelType w:val="hybridMultilevel"/>
    <w:tmpl w:val="7CD0B9F6"/>
    <w:lvl w:ilvl="0" w:tplc="5ACA62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4278C8"/>
    <w:multiLevelType w:val="hybridMultilevel"/>
    <w:tmpl w:val="B2F285C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F6547"/>
    <w:multiLevelType w:val="hybridMultilevel"/>
    <w:tmpl w:val="2350192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C63940"/>
    <w:multiLevelType w:val="hybridMultilevel"/>
    <w:tmpl w:val="9BF0B76E"/>
    <w:lvl w:ilvl="0" w:tplc="BEB2252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4A2AC2"/>
    <w:multiLevelType w:val="hybridMultilevel"/>
    <w:tmpl w:val="30D6FEB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C8D7429"/>
    <w:multiLevelType w:val="hybridMultilevel"/>
    <w:tmpl w:val="4336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3F9E3EC5"/>
    <w:multiLevelType w:val="hybridMultilevel"/>
    <w:tmpl w:val="A61E60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0B573E"/>
    <w:multiLevelType w:val="hybridMultilevel"/>
    <w:tmpl w:val="FD960A6E"/>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D5C0EF3"/>
    <w:multiLevelType w:val="hybridMultilevel"/>
    <w:tmpl w:val="576E89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EAA087C"/>
    <w:multiLevelType w:val="hybridMultilevel"/>
    <w:tmpl w:val="5A4A57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147A8E"/>
    <w:multiLevelType w:val="hybridMultilevel"/>
    <w:tmpl w:val="F84E8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4D6003"/>
    <w:multiLevelType w:val="hybridMultilevel"/>
    <w:tmpl w:val="41D4DCC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FB04B65"/>
    <w:multiLevelType w:val="hybridMultilevel"/>
    <w:tmpl w:val="32A41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5"/>
  </w:num>
  <w:num w:numId="6">
    <w:abstractNumId w:val="11"/>
  </w:num>
  <w:num w:numId="7">
    <w:abstractNumId w:val="10"/>
  </w:num>
  <w:num w:numId="8">
    <w:abstractNumId w:val="3"/>
  </w:num>
  <w:num w:numId="9">
    <w:abstractNumId w:val="2"/>
  </w:num>
  <w:num w:numId="10">
    <w:abstractNumId w:val="1"/>
  </w:num>
  <w:num w:numId="11">
    <w:abstractNumId w:val="12"/>
  </w:num>
  <w:num w:numId="12">
    <w:abstractNumId w:val="4"/>
  </w:num>
  <w:num w:numId="13">
    <w:abstractNumId w:val="5"/>
  </w:num>
  <w:num w:numId="14">
    <w:abstractNumId w:val="13"/>
  </w:num>
  <w:num w:numId="15">
    <w:abstractNumId w:val="8"/>
  </w:num>
  <w:num w:numId="16">
    <w:abstractNumId w:val="9"/>
    <w:lvlOverride w:ilvl="0"/>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A5"/>
    <w:rsid w:val="00007552"/>
    <w:rsid w:val="00017341"/>
    <w:rsid w:val="00022D08"/>
    <w:rsid w:val="00042EDF"/>
    <w:rsid w:val="00050E66"/>
    <w:rsid w:val="000520AF"/>
    <w:rsid w:val="00060684"/>
    <w:rsid w:val="0006158F"/>
    <w:rsid w:val="00076775"/>
    <w:rsid w:val="000C08D5"/>
    <w:rsid w:val="000C51B9"/>
    <w:rsid w:val="000C6DDC"/>
    <w:rsid w:val="000E0D7E"/>
    <w:rsid w:val="000F07C4"/>
    <w:rsid w:val="001371B5"/>
    <w:rsid w:val="00154BEB"/>
    <w:rsid w:val="001713A2"/>
    <w:rsid w:val="001729ED"/>
    <w:rsid w:val="00183C10"/>
    <w:rsid w:val="00186DA5"/>
    <w:rsid w:val="001A4933"/>
    <w:rsid w:val="001B7E81"/>
    <w:rsid w:val="001E5D40"/>
    <w:rsid w:val="001E6580"/>
    <w:rsid w:val="0021520D"/>
    <w:rsid w:val="00215C2C"/>
    <w:rsid w:val="00215FAF"/>
    <w:rsid w:val="00231818"/>
    <w:rsid w:val="002475D5"/>
    <w:rsid w:val="00257138"/>
    <w:rsid w:val="00286BF8"/>
    <w:rsid w:val="002A70D0"/>
    <w:rsid w:val="002E4A47"/>
    <w:rsid w:val="002F1930"/>
    <w:rsid w:val="00320BF4"/>
    <w:rsid w:val="003221A0"/>
    <w:rsid w:val="00352F9B"/>
    <w:rsid w:val="00361668"/>
    <w:rsid w:val="003722B8"/>
    <w:rsid w:val="00382B69"/>
    <w:rsid w:val="00384C6A"/>
    <w:rsid w:val="003A4B04"/>
    <w:rsid w:val="003B6C7F"/>
    <w:rsid w:val="003B7F25"/>
    <w:rsid w:val="003D741A"/>
    <w:rsid w:val="003E0E73"/>
    <w:rsid w:val="00402D81"/>
    <w:rsid w:val="0040567E"/>
    <w:rsid w:val="00424B95"/>
    <w:rsid w:val="004525AD"/>
    <w:rsid w:val="004B077B"/>
    <w:rsid w:val="004B1AB4"/>
    <w:rsid w:val="004D45B7"/>
    <w:rsid w:val="004E5847"/>
    <w:rsid w:val="0051492C"/>
    <w:rsid w:val="005221C2"/>
    <w:rsid w:val="00527C5D"/>
    <w:rsid w:val="005362D5"/>
    <w:rsid w:val="00547648"/>
    <w:rsid w:val="005725A0"/>
    <w:rsid w:val="00573A71"/>
    <w:rsid w:val="005A0058"/>
    <w:rsid w:val="005B6A87"/>
    <w:rsid w:val="005B6E03"/>
    <w:rsid w:val="005D3D81"/>
    <w:rsid w:val="005D6329"/>
    <w:rsid w:val="005E0BE6"/>
    <w:rsid w:val="005E7E91"/>
    <w:rsid w:val="005F5F22"/>
    <w:rsid w:val="00600007"/>
    <w:rsid w:val="00601E9A"/>
    <w:rsid w:val="00604CAD"/>
    <w:rsid w:val="006131B5"/>
    <w:rsid w:val="00613A18"/>
    <w:rsid w:val="006218E6"/>
    <w:rsid w:val="0063363B"/>
    <w:rsid w:val="00636127"/>
    <w:rsid w:val="0064578D"/>
    <w:rsid w:val="00676377"/>
    <w:rsid w:val="006B20B4"/>
    <w:rsid w:val="006B7328"/>
    <w:rsid w:val="006C4FDA"/>
    <w:rsid w:val="006D02B7"/>
    <w:rsid w:val="007211AC"/>
    <w:rsid w:val="007548AF"/>
    <w:rsid w:val="00764027"/>
    <w:rsid w:val="00764252"/>
    <w:rsid w:val="00766E95"/>
    <w:rsid w:val="007C05D1"/>
    <w:rsid w:val="007C10FF"/>
    <w:rsid w:val="007C3613"/>
    <w:rsid w:val="007D1E40"/>
    <w:rsid w:val="007D22EF"/>
    <w:rsid w:val="0083242E"/>
    <w:rsid w:val="00855862"/>
    <w:rsid w:val="00861F06"/>
    <w:rsid w:val="00883522"/>
    <w:rsid w:val="008878E3"/>
    <w:rsid w:val="008967F6"/>
    <w:rsid w:val="008A3607"/>
    <w:rsid w:val="008C0043"/>
    <w:rsid w:val="008C6A0B"/>
    <w:rsid w:val="008F2BDA"/>
    <w:rsid w:val="009077E0"/>
    <w:rsid w:val="00907D71"/>
    <w:rsid w:val="00910B04"/>
    <w:rsid w:val="009202FA"/>
    <w:rsid w:val="00920CB5"/>
    <w:rsid w:val="009443E0"/>
    <w:rsid w:val="009458BE"/>
    <w:rsid w:val="00966944"/>
    <w:rsid w:val="00970C76"/>
    <w:rsid w:val="009E5328"/>
    <w:rsid w:val="00A11CDE"/>
    <w:rsid w:val="00A41183"/>
    <w:rsid w:val="00A47406"/>
    <w:rsid w:val="00A55597"/>
    <w:rsid w:val="00A5658E"/>
    <w:rsid w:val="00A63C21"/>
    <w:rsid w:val="00A67360"/>
    <w:rsid w:val="00A8398A"/>
    <w:rsid w:val="00A96030"/>
    <w:rsid w:val="00AB06F7"/>
    <w:rsid w:val="00AB14E5"/>
    <w:rsid w:val="00AB4C37"/>
    <w:rsid w:val="00AD0CB5"/>
    <w:rsid w:val="00B05A13"/>
    <w:rsid w:val="00B17F27"/>
    <w:rsid w:val="00B62797"/>
    <w:rsid w:val="00BA3103"/>
    <w:rsid w:val="00BD15E5"/>
    <w:rsid w:val="00BF59C4"/>
    <w:rsid w:val="00C10317"/>
    <w:rsid w:val="00C20D9D"/>
    <w:rsid w:val="00C23C69"/>
    <w:rsid w:val="00C34AB4"/>
    <w:rsid w:val="00C54E3F"/>
    <w:rsid w:val="00C56890"/>
    <w:rsid w:val="00C64516"/>
    <w:rsid w:val="00C665A6"/>
    <w:rsid w:val="00C756FF"/>
    <w:rsid w:val="00C779A3"/>
    <w:rsid w:val="00CB154A"/>
    <w:rsid w:val="00CB1A17"/>
    <w:rsid w:val="00CC41D2"/>
    <w:rsid w:val="00CD0B04"/>
    <w:rsid w:val="00CD3385"/>
    <w:rsid w:val="00CD604C"/>
    <w:rsid w:val="00CE3461"/>
    <w:rsid w:val="00CF5CAB"/>
    <w:rsid w:val="00D125A0"/>
    <w:rsid w:val="00D23355"/>
    <w:rsid w:val="00D41E7E"/>
    <w:rsid w:val="00D60F80"/>
    <w:rsid w:val="00D72FFC"/>
    <w:rsid w:val="00D854A4"/>
    <w:rsid w:val="00DA63F6"/>
    <w:rsid w:val="00DC0E9B"/>
    <w:rsid w:val="00DE687A"/>
    <w:rsid w:val="00E13054"/>
    <w:rsid w:val="00E26854"/>
    <w:rsid w:val="00E345A7"/>
    <w:rsid w:val="00E47B7F"/>
    <w:rsid w:val="00E52DEF"/>
    <w:rsid w:val="00E75C9C"/>
    <w:rsid w:val="00E900B3"/>
    <w:rsid w:val="00E92BE1"/>
    <w:rsid w:val="00E97865"/>
    <w:rsid w:val="00EB35E2"/>
    <w:rsid w:val="00EC5697"/>
    <w:rsid w:val="00EF4346"/>
    <w:rsid w:val="00F0007E"/>
    <w:rsid w:val="00F13F64"/>
    <w:rsid w:val="00F17215"/>
    <w:rsid w:val="00F60E2C"/>
    <w:rsid w:val="00F72493"/>
    <w:rsid w:val="00F90A51"/>
    <w:rsid w:val="00F923BA"/>
    <w:rsid w:val="00FA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37EE03"/>
  <w15:chartTrackingRefBased/>
  <w15:docId w15:val="{8E475079-514A-4C4D-A802-03BCB41D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328"/>
    <w:pPr>
      <w:spacing w:after="120"/>
    </w:pPr>
    <w:rPr>
      <w:rFonts w:ascii="Gill Sans MT" w:hAnsi="Gill Sans MT"/>
      <w:sz w:val="24"/>
      <w:lang w:eastAsia="en-US"/>
    </w:rPr>
  </w:style>
  <w:style w:type="paragraph" w:styleId="Heading1">
    <w:name w:val="heading 1"/>
    <w:basedOn w:val="Normal"/>
    <w:next w:val="Normal"/>
    <w:link w:val="Heading1Char"/>
    <w:qFormat/>
    <w:rsid w:val="002A70D0"/>
    <w:pPr>
      <w:keepNext/>
      <w:keepLines/>
      <w:spacing w:before="480" w:after="480"/>
      <w:jc w:val="center"/>
      <w:outlineLvl w:val="0"/>
    </w:pPr>
    <w:rPr>
      <w:rFonts w:eastAsiaTheme="majorEastAsia" w:cstheme="majorBidi"/>
      <w:b/>
      <w:spacing w:val="20"/>
      <w:sz w:val="32"/>
      <w:szCs w:val="32"/>
    </w:rPr>
  </w:style>
  <w:style w:type="paragraph" w:styleId="Heading2">
    <w:name w:val="heading 2"/>
    <w:basedOn w:val="Normal"/>
    <w:next w:val="Normal"/>
    <w:qFormat/>
    <w:rsid w:val="002A70D0"/>
    <w:pPr>
      <w:keepNext/>
      <w:spacing w:before="240" w:after="240"/>
      <w:outlineLvl w:val="1"/>
    </w:pPr>
    <w:rPr>
      <w:b/>
      <w:color w:val="A8A400"/>
      <w:sz w:val="28"/>
    </w:rPr>
  </w:style>
  <w:style w:type="paragraph" w:styleId="Heading3">
    <w:name w:val="heading 3"/>
    <w:basedOn w:val="Normal"/>
    <w:next w:val="Normal"/>
    <w:qFormat/>
    <w:rsid w:val="006B7328"/>
    <w:pPr>
      <w:keepNext/>
      <w:spacing w:before="240" w:after="240"/>
      <w:outlineLvl w:val="2"/>
    </w:pPr>
    <w:rPr>
      <w:rFonts w:cs="Arial"/>
      <w:b/>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186DA5"/>
    <w:pPr>
      <w:spacing w:before="100" w:beforeAutospacing="1" w:after="100" w:afterAutospacing="1"/>
    </w:pPr>
    <w:rPr>
      <w:szCs w:val="24"/>
      <w:lang w:val="en-US"/>
    </w:rPr>
  </w:style>
  <w:style w:type="character" w:styleId="Hyperlink">
    <w:name w:val="Hyperlink"/>
    <w:rsid w:val="00186DA5"/>
    <w:rPr>
      <w:color w:val="0000FF"/>
      <w:u w:val="single"/>
    </w:rPr>
  </w:style>
  <w:style w:type="paragraph" w:styleId="BalloonText">
    <w:name w:val="Balloon Text"/>
    <w:basedOn w:val="Normal"/>
    <w:semiHidden/>
    <w:rsid w:val="002475D5"/>
    <w:rPr>
      <w:rFonts w:ascii="Tahoma" w:hAnsi="Tahoma" w:cs="Tahoma"/>
      <w:sz w:val="16"/>
      <w:szCs w:val="16"/>
    </w:rPr>
  </w:style>
  <w:style w:type="paragraph" w:styleId="BodyText3">
    <w:name w:val="Body Text 3"/>
    <w:basedOn w:val="Normal"/>
    <w:rsid w:val="00A5658E"/>
    <w:rPr>
      <w:sz w:val="16"/>
      <w:szCs w:val="16"/>
    </w:rPr>
  </w:style>
  <w:style w:type="character" w:styleId="PageNumber">
    <w:name w:val="page number"/>
    <w:basedOn w:val="DefaultParagraphFont"/>
    <w:rsid w:val="00AD0CB5"/>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C0E9B"/>
    <w:pPr>
      <w:spacing w:after="160" w:line="259"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2A70D0"/>
    <w:rPr>
      <w:rFonts w:ascii="Gill Sans MT" w:eastAsiaTheme="majorEastAsia" w:hAnsi="Gill Sans MT" w:cstheme="majorBidi"/>
      <w:b/>
      <w:spacing w:val="20"/>
      <w:sz w:val="32"/>
      <w:szCs w:val="32"/>
      <w:lang w:eastAsia="en-US"/>
    </w:rPr>
  </w:style>
  <w:style w:type="table" w:styleId="TableGrid">
    <w:name w:val="Table Grid"/>
    <w:basedOn w:val="TableNormal"/>
    <w:rsid w:val="0076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C756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1004">
      <w:bodyDiv w:val="1"/>
      <w:marLeft w:val="0"/>
      <w:marRight w:val="0"/>
      <w:marTop w:val="0"/>
      <w:marBottom w:val="0"/>
      <w:divBdr>
        <w:top w:val="none" w:sz="0" w:space="0" w:color="auto"/>
        <w:left w:val="none" w:sz="0" w:space="0" w:color="auto"/>
        <w:bottom w:val="none" w:sz="0" w:space="0" w:color="auto"/>
        <w:right w:val="none" w:sz="0" w:space="0" w:color="auto"/>
      </w:divBdr>
    </w:div>
    <w:div w:id="205831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993549859" UniqueId="4323c403-54ed-481e-9ae3-8c94b7152fe9">
      <p:Name>Auditing</p:Name>
      <p:Description>Audits user actions on documents and list items to the Audit Log.</p:Description>
      <p:CustomData>
        <Audit>
          <Updat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AF58E1B6B0BC284D9BA155B3E734020A" ma:contentTypeVersion="5" ma:contentTypeDescription="Create a new document." ma:contentTypeScope="" ma:versionID="bfb0b20f3644213d78c2b3f61be5440d">
  <xsd:schema xmlns:xsd="http://www.w3.org/2001/XMLSchema" xmlns:xs="http://www.w3.org/2001/XMLSchema" xmlns:p="http://schemas.microsoft.com/office/2006/metadata/properties" xmlns:ns1="http://schemas.microsoft.com/sharepoint/v3" targetNamespace="http://schemas.microsoft.com/office/2006/metadata/properties" ma:root="true" ma:fieldsID="df772de1688081fcac31954ca08c7062"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12F8-A816-4809-8ED7-412884DFE503}">
  <ds:schemaRefs>
    <ds:schemaRef ds:uri="http://schemas.microsoft.com/sharepoint/events"/>
  </ds:schemaRefs>
</ds:datastoreItem>
</file>

<file path=customXml/itemProps2.xml><?xml version="1.0" encoding="utf-8"?>
<ds:datastoreItem xmlns:ds="http://schemas.openxmlformats.org/officeDocument/2006/customXml" ds:itemID="{AF52766E-9747-472E-B22E-9CD738C44A2A}">
  <ds:schemaRefs>
    <ds:schemaRef ds:uri="office.server.policy"/>
  </ds:schemaRefs>
</ds:datastoreItem>
</file>

<file path=customXml/itemProps3.xml><?xml version="1.0" encoding="utf-8"?>
<ds:datastoreItem xmlns:ds="http://schemas.openxmlformats.org/officeDocument/2006/customXml" ds:itemID="{D85C7CF6-5397-453B-8885-91BB0C2A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1FDD3-8B8C-4BE9-BD10-619ED6392C67}">
  <ds:schemaRefs>
    <ds:schemaRef ds:uri="http://schemas.microsoft.com/sharepoint/v3/contenttype/forms"/>
  </ds:schemaRefs>
</ds:datastoreItem>
</file>

<file path=customXml/itemProps5.xml><?xml version="1.0" encoding="utf-8"?>
<ds:datastoreItem xmlns:ds="http://schemas.openxmlformats.org/officeDocument/2006/customXml" ds:itemID="{2F7E3D9B-2733-470E-8E0F-F70539BACCD6}">
  <ds:schemaRefs>
    <ds:schemaRef ds:uri="http://schemas.microsoft.com/office/2006/metadata/longProperties"/>
  </ds:schemaRefs>
</ds:datastoreItem>
</file>

<file path=customXml/itemProps6.xml><?xml version="1.0" encoding="utf-8"?>
<ds:datastoreItem xmlns:ds="http://schemas.openxmlformats.org/officeDocument/2006/customXml" ds:itemID="{FFA90F65-B1FE-4716-9B11-6DBEC95ABB5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9CFE073-E6E0-48EF-B7E0-D8C0AAC4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Administrative Assistant - B2 - Generic</vt:lpstr>
    </vt:vector>
  </TitlesOfParts>
  <Company>Department of Education</Company>
  <LinksUpToDate>false</LinksUpToDate>
  <CharactersWithSpaces>10527</CharactersWithSpaces>
  <SharedDoc>false</SharedDoc>
  <HLinks>
    <vt:vector size="12" baseType="variant">
      <vt:variant>
        <vt:i4>720919</vt:i4>
      </vt:variant>
      <vt:variant>
        <vt:i4>3</vt:i4>
      </vt:variant>
      <vt:variant>
        <vt:i4>0</vt:i4>
      </vt:variant>
      <vt:variant>
        <vt:i4>5</vt:i4>
      </vt:variant>
      <vt:variant>
        <vt:lpwstr>https://www.education.tas.gov.au/documentcentre/Documents/Conditions-of-Use-Policy-for-All-Users-of-Information-and-Communication-Technology.pdf</vt:lpwstr>
      </vt:variant>
      <vt:variant>
        <vt:lpwstr/>
      </vt:variant>
      <vt:variant>
        <vt:i4>1572928</vt:i4>
      </vt:variant>
      <vt:variant>
        <vt:i4>0</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 - B2 - Generic</dc:title>
  <dc:subject/>
  <dc:creator>Scott.Smith</dc:creator>
  <cp:keywords>Department of Education</cp:keywords>
  <cp:lastModifiedBy>McCambridge, Heather</cp:lastModifiedBy>
  <cp:revision>3</cp:revision>
  <cp:lastPrinted>2022-01-18T03:26:00Z</cp:lastPrinted>
  <dcterms:created xsi:type="dcterms:W3CDTF">2022-01-18T03:26:00Z</dcterms:created>
  <dcterms:modified xsi:type="dcterms:W3CDTF">2022-01-18T03:26:00Z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Human Resources Management</vt:lpwstr>
  </property>
  <property fmtid="{D5CDD505-2E9C-101B-9397-08002B2CF9AE}" pid="3" name="Classification Award">
    <vt:lpwstr>Administrative and Clerical Employees</vt:lpwstr>
  </property>
  <property fmtid="{D5CDD505-2E9C-101B-9397-08002B2CF9AE}" pid="4" name="Classification Level">
    <vt:lpwstr>band4</vt:lpwstr>
  </property>
  <property fmtid="{D5CDD505-2E9C-101B-9397-08002B2CF9AE}" pid="5" name="Leave During Appointment">
    <vt:lpwstr/>
  </property>
  <property fmtid="{D5CDD505-2E9C-101B-9397-08002B2CF9AE}" pid="6" name="Overtime">
    <vt:lpwstr/>
  </property>
  <property fmtid="{D5CDD505-2E9C-101B-9397-08002B2CF9AE}" pid="7" name="Position Number">
    <vt:lpwstr>Generic</vt:lpwstr>
  </property>
  <property fmtid="{D5CDD505-2E9C-101B-9397-08002B2CF9AE}" pid="8" name="Position Status">
    <vt:lpwstr>Permanent</vt:lpwstr>
  </property>
  <property fmtid="{D5CDD505-2E9C-101B-9397-08002B2CF9AE}" pid="9" name="Pre-Employment Check">
    <vt:lpwstr>Yes</vt:lpwstr>
  </property>
  <property fmtid="{D5CDD505-2E9C-101B-9397-08002B2CF9AE}" pid="10" name="Relinquish">
    <vt:lpwstr/>
  </property>
  <property fmtid="{D5CDD505-2E9C-101B-9397-08002B2CF9AE}" pid="11" name="Section">
    <vt:lpwstr>HR Operations</vt:lpwstr>
  </property>
  <property fmtid="{D5CDD505-2E9C-101B-9397-08002B2CF9AE}" pid="12" name="Travel">
    <vt:lpwstr/>
  </property>
  <property fmtid="{D5CDD505-2E9C-101B-9397-08002B2CF9AE}" pid="13" name="Weeks in Year">
    <vt:lpwstr>52</vt:lpwstr>
  </property>
  <property fmtid="{D5CDD505-2E9C-101B-9397-08002B2CF9AE}" pid="14" name="Weeks of Leave">
    <vt:lpwstr>4</vt:lpwstr>
  </property>
  <property fmtid="{D5CDD505-2E9C-101B-9397-08002B2CF9AE}" pid="15" name="End Date">
    <vt:lpwstr/>
  </property>
  <property fmtid="{D5CDD505-2E9C-101B-9397-08002B2CF9AE}" pid="16" name="Minimum Years">
    <vt:lpwstr/>
  </property>
  <property fmtid="{D5CDD505-2E9C-101B-9397-08002B2CF9AE}" pid="17" name="Maximum Years">
    <vt:lpwstr/>
  </property>
  <property fmtid="{D5CDD505-2E9C-101B-9397-08002B2CF9AE}" pid="18" name="ContentType">
    <vt:lpwstr>Document</vt:lpwstr>
  </property>
  <property fmtid="{D5CDD505-2E9C-101B-9397-08002B2CF9AE}" pid="19" name="display_urn:schemas-microsoft-com:office:office#Editor">
    <vt:lpwstr>Green, Rebekah L</vt:lpwstr>
  </property>
  <property fmtid="{D5CDD505-2E9C-101B-9397-08002B2CF9AE}" pid="20" name="TemplateUrl">
    <vt:lpwstr/>
  </property>
  <property fmtid="{D5CDD505-2E9C-101B-9397-08002B2CF9AE}" pid="21" name="xd_ProgID">
    <vt:lpwstr/>
  </property>
  <property fmtid="{D5CDD505-2E9C-101B-9397-08002B2CF9AE}" pid="22" name="display_urn:schemas-microsoft-com:office:office#Author">
    <vt:lpwstr>Batchelor, Terry</vt:lpwstr>
  </property>
  <property fmtid="{D5CDD505-2E9C-101B-9397-08002B2CF9AE}" pid="23" name="Order">
    <vt:lpwstr>148900.000000000</vt:lpwstr>
  </property>
  <property fmtid="{D5CDD505-2E9C-101B-9397-08002B2CF9AE}" pid="24" name="xd_Signature">
    <vt:lpwstr/>
  </property>
  <property fmtid="{D5CDD505-2E9C-101B-9397-08002B2CF9AE}" pid="25" name="ContentTypeId">
    <vt:lpwstr>0x010100AF58E1B6B0BC284D9BA155B3E734020A</vt:lpwstr>
  </property>
</Properties>
</file>